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0382" w:rsidRPr="006311ED" w:rsidRDefault="00D40382" w:rsidP="00D935A1">
      <w:pPr>
        <w:tabs>
          <w:tab w:val="left" w:pos="360"/>
        </w:tabs>
        <w:jc w:val="both"/>
        <w:rPr>
          <w:rFonts w:ascii="Arial" w:hAnsi="Arial" w:cs="Arial"/>
          <w:bCs/>
          <w:i/>
          <w:iCs/>
          <w:sz w:val="20"/>
          <w:szCs w:val="20"/>
        </w:rPr>
      </w:pPr>
      <w:r w:rsidRPr="006311ED">
        <w:rPr>
          <w:rFonts w:ascii="Arial" w:hAnsi="Arial" w:cs="Arial"/>
          <w:bCs/>
          <w:sz w:val="20"/>
          <w:szCs w:val="20"/>
        </w:rPr>
        <w:t>The following</w:t>
      </w:r>
      <w:r w:rsidR="00DF3EC2" w:rsidRPr="006311ED">
        <w:rPr>
          <w:rFonts w:ascii="Arial" w:hAnsi="Arial" w:cs="Arial"/>
          <w:bCs/>
          <w:sz w:val="20"/>
          <w:szCs w:val="20"/>
        </w:rPr>
        <w:t xml:space="preserve"> are aspects which a</w:t>
      </w:r>
      <w:r w:rsidR="005349C5">
        <w:rPr>
          <w:rFonts w:ascii="Arial" w:hAnsi="Arial" w:cs="Arial"/>
          <w:sz w:val="20"/>
          <w:szCs w:val="20"/>
        </w:rPr>
        <w:t xml:space="preserve"> Laboratory</w:t>
      </w:r>
      <w:r w:rsidR="00DF3EC2" w:rsidRPr="006311ED">
        <w:rPr>
          <w:rFonts w:ascii="Arial" w:hAnsi="Arial" w:cs="Arial"/>
          <w:bCs/>
          <w:sz w:val="20"/>
          <w:szCs w:val="20"/>
        </w:rPr>
        <w:t xml:space="preserve"> wishing to adopt the alternative approach for analysing </w:t>
      </w:r>
      <w:r w:rsidR="000F3C77" w:rsidRPr="006311ED">
        <w:rPr>
          <w:rFonts w:ascii="Arial" w:hAnsi="Arial" w:cs="Arial"/>
          <w:bCs/>
          <w:sz w:val="20"/>
          <w:szCs w:val="20"/>
        </w:rPr>
        <w:t>samples</w:t>
      </w:r>
      <w:r w:rsidR="005349C5">
        <w:rPr>
          <w:rFonts w:ascii="Arial" w:hAnsi="Arial" w:cs="Arial"/>
          <w:bCs/>
          <w:sz w:val="20"/>
          <w:szCs w:val="20"/>
        </w:rPr>
        <w:t>,</w:t>
      </w:r>
      <w:r w:rsidR="000F3C77" w:rsidRPr="006311ED">
        <w:rPr>
          <w:rFonts w:ascii="Arial" w:hAnsi="Arial" w:cs="Arial"/>
          <w:bCs/>
          <w:sz w:val="20"/>
          <w:szCs w:val="20"/>
        </w:rPr>
        <w:t xml:space="preserve"> including </w:t>
      </w:r>
      <w:r w:rsidR="00A60E0D">
        <w:rPr>
          <w:rFonts w:ascii="Arial" w:hAnsi="Arial" w:cs="Arial"/>
          <w:bCs/>
          <w:sz w:val="20"/>
          <w:szCs w:val="20"/>
        </w:rPr>
        <w:t>n</w:t>
      </w:r>
      <w:r w:rsidR="00DF3EC2" w:rsidRPr="006311ED">
        <w:rPr>
          <w:rFonts w:ascii="Arial" w:hAnsi="Arial" w:cs="Arial"/>
          <w:bCs/>
          <w:sz w:val="20"/>
          <w:szCs w:val="20"/>
        </w:rPr>
        <w:t>on-asbestos construction sample (NACS) materials</w:t>
      </w:r>
      <w:r w:rsidR="004F48FF">
        <w:rPr>
          <w:rFonts w:ascii="Arial" w:hAnsi="Arial" w:cs="Arial"/>
          <w:bCs/>
          <w:sz w:val="20"/>
          <w:szCs w:val="20"/>
        </w:rPr>
        <w:t>,</w:t>
      </w:r>
      <w:r w:rsidR="00DF3EC2" w:rsidRPr="006311ED">
        <w:rPr>
          <w:rFonts w:ascii="Arial" w:hAnsi="Arial" w:cs="Arial"/>
          <w:bCs/>
          <w:sz w:val="20"/>
          <w:szCs w:val="20"/>
        </w:rPr>
        <w:t xml:space="preserve"> will need to address. Evidence of </w:t>
      </w:r>
      <w:r w:rsidR="004A33F5" w:rsidRPr="006311ED">
        <w:rPr>
          <w:rFonts w:ascii="Arial" w:hAnsi="Arial" w:cs="Arial"/>
          <w:bCs/>
          <w:sz w:val="20"/>
          <w:szCs w:val="20"/>
        </w:rPr>
        <w:t xml:space="preserve">how </w:t>
      </w:r>
      <w:r w:rsidR="00881204">
        <w:rPr>
          <w:rFonts w:ascii="Arial" w:hAnsi="Arial" w:cs="Arial"/>
          <w:bCs/>
          <w:sz w:val="20"/>
          <w:szCs w:val="20"/>
        </w:rPr>
        <w:t xml:space="preserve">the Laboratory have </w:t>
      </w:r>
      <w:r w:rsidR="004A33F5" w:rsidRPr="006311ED">
        <w:rPr>
          <w:rFonts w:ascii="Arial" w:hAnsi="Arial" w:cs="Arial"/>
          <w:bCs/>
          <w:sz w:val="20"/>
          <w:szCs w:val="20"/>
        </w:rPr>
        <w:t>addressed</w:t>
      </w:r>
      <w:r w:rsidR="00881204">
        <w:rPr>
          <w:rFonts w:ascii="Arial" w:hAnsi="Arial" w:cs="Arial"/>
          <w:bCs/>
          <w:sz w:val="20"/>
          <w:szCs w:val="20"/>
        </w:rPr>
        <w:t xml:space="preserve"> all aspects </w:t>
      </w:r>
      <w:r w:rsidR="004A33F5" w:rsidRPr="006311ED">
        <w:rPr>
          <w:rFonts w:ascii="Arial" w:hAnsi="Arial" w:cs="Arial"/>
          <w:bCs/>
          <w:sz w:val="20"/>
          <w:szCs w:val="20"/>
        </w:rPr>
        <w:t>will f</w:t>
      </w:r>
      <w:r w:rsidR="00380048" w:rsidRPr="006311ED">
        <w:rPr>
          <w:rFonts w:ascii="Arial" w:hAnsi="Arial" w:cs="Arial"/>
          <w:bCs/>
          <w:sz w:val="20"/>
          <w:szCs w:val="20"/>
        </w:rPr>
        <w:t>o</w:t>
      </w:r>
      <w:r w:rsidR="004A33F5" w:rsidRPr="006311ED">
        <w:rPr>
          <w:rFonts w:ascii="Arial" w:hAnsi="Arial" w:cs="Arial"/>
          <w:bCs/>
          <w:sz w:val="20"/>
          <w:szCs w:val="20"/>
        </w:rPr>
        <w:t xml:space="preserve">rm part of </w:t>
      </w:r>
      <w:r w:rsidR="00AE2704">
        <w:rPr>
          <w:rFonts w:ascii="Arial" w:hAnsi="Arial" w:cs="Arial"/>
          <w:bCs/>
          <w:sz w:val="20"/>
          <w:szCs w:val="20"/>
        </w:rPr>
        <w:t xml:space="preserve">the </w:t>
      </w:r>
      <w:r w:rsidR="005F28BC" w:rsidRPr="006311ED">
        <w:rPr>
          <w:rFonts w:ascii="Arial" w:hAnsi="Arial" w:cs="Arial"/>
          <w:bCs/>
          <w:sz w:val="20"/>
          <w:szCs w:val="20"/>
        </w:rPr>
        <w:t>information requested</w:t>
      </w:r>
      <w:r w:rsidR="00B07B21">
        <w:rPr>
          <w:rFonts w:ascii="Arial" w:hAnsi="Arial" w:cs="Arial"/>
          <w:bCs/>
          <w:sz w:val="20"/>
          <w:szCs w:val="20"/>
        </w:rPr>
        <w:t xml:space="preserve"> to</w:t>
      </w:r>
      <w:r w:rsidR="005F28BC" w:rsidRPr="006311ED">
        <w:rPr>
          <w:rFonts w:ascii="Arial" w:hAnsi="Arial" w:cs="Arial"/>
          <w:bCs/>
          <w:sz w:val="20"/>
          <w:szCs w:val="20"/>
        </w:rPr>
        <w:t xml:space="preserve"> support of the declaration</w:t>
      </w:r>
      <w:r w:rsidR="00B07B21">
        <w:rPr>
          <w:rFonts w:ascii="Arial" w:hAnsi="Arial" w:cs="Arial"/>
          <w:bCs/>
          <w:sz w:val="20"/>
          <w:szCs w:val="20"/>
        </w:rPr>
        <w:t xml:space="preserve"> submission</w:t>
      </w:r>
      <w:r w:rsidR="005546F0">
        <w:rPr>
          <w:rFonts w:ascii="Arial" w:hAnsi="Arial" w:cs="Arial"/>
          <w:bCs/>
          <w:sz w:val="20"/>
          <w:szCs w:val="20"/>
        </w:rPr>
        <w:t xml:space="preserve">. The </w:t>
      </w:r>
      <w:r w:rsidR="00661E84">
        <w:rPr>
          <w:rFonts w:ascii="Arial" w:hAnsi="Arial" w:cs="Arial"/>
          <w:sz w:val="20"/>
          <w:szCs w:val="20"/>
        </w:rPr>
        <w:t>Laboratory</w:t>
      </w:r>
      <w:r w:rsidR="00A83A6F" w:rsidRPr="006311ED">
        <w:rPr>
          <w:rFonts w:ascii="Arial" w:hAnsi="Arial" w:cs="Arial"/>
          <w:bCs/>
          <w:sz w:val="20"/>
          <w:szCs w:val="20"/>
        </w:rPr>
        <w:t xml:space="preserve"> </w:t>
      </w:r>
      <w:r w:rsidR="005546F0">
        <w:rPr>
          <w:rFonts w:ascii="Arial" w:hAnsi="Arial" w:cs="Arial"/>
          <w:bCs/>
          <w:sz w:val="20"/>
          <w:szCs w:val="20"/>
        </w:rPr>
        <w:t xml:space="preserve">will </w:t>
      </w:r>
      <w:r w:rsidR="00A83A6F" w:rsidRPr="006311ED">
        <w:rPr>
          <w:rFonts w:ascii="Arial" w:hAnsi="Arial" w:cs="Arial"/>
          <w:bCs/>
          <w:sz w:val="20"/>
          <w:szCs w:val="20"/>
        </w:rPr>
        <w:t xml:space="preserve">need to sign the declaration </w:t>
      </w:r>
      <w:r w:rsidR="00CB25B3" w:rsidRPr="006311ED">
        <w:rPr>
          <w:rFonts w:ascii="Arial" w:hAnsi="Arial" w:cs="Arial"/>
          <w:bCs/>
          <w:sz w:val="20"/>
          <w:szCs w:val="20"/>
        </w:rPr>
        <w:t xml:space="preserve">by way of </w:t>
      </w:r>
      <w:r w:rsidR="00A83A6F" w:rsidRPr="006311ED">
        <w:rPr>
          <w:rFonts w:ascii="Arial" w:hAnsi="Arial" w:cs="Arial"/>
          <w:bCs/>
          <w:sz w:val="20"/>
          <w:szCs w:val="20"/>
        </w:rPr>
        <w:t xml:space="preserve">confirming </w:t>
      </w:r>
      <w:r w:rsidR="00537D60" w:rsidRPr="006311ED">
        <w:rPr>
          <w:rFonts w:ascii="Arial" w:hAnsi="Arial" w:cs="Arial"/>
          <w:bCs/>
          <w:sz w:val="20"/>
          <w:szCs w:val="20"/>
        </w:rPr>
        <w:t xml:space="preserve">they have considered </w:t>
      </w:r>
      <w:r w:rsidR="00625540" w:rsidRPr="006311ED">
        <w:rPr>
          <w:rFonts w:ascii="Arial" w:hAnsi="Arial" w:cs="Arial"/>
          <w:bCs/>
          <w:sz w:val="20"/>
          <w:szCs w:val="20"/>
        </w:rPr>
        <w:t xml:space="preserve">and </w:t>
      </w:r>
      <w:r w:rsidR="00313554">
        <w:rPr>
          <w:rFonts w:ascii="Arial" w:hAnsi="Arial" w:cs="Arial"/>
          <w:bCs/>
          <w:sz w:val="20"/>
          <w:szCs w:val="20"/>
        </w:rPr>
        <w:t xml:space="preserve">have </w:t>
      </w:r>
      <w:r w:rsidR="00625540" w:rsidRPr="006311ED">
        <w:rPr>
          <w:rFonts w:ascii="Arial" w:hAnsi="Arial" w:cs="Arial"/>
          <w:bCs/>
          <w:sz w:val="20"/>
          <w:szCs w:val="20"/>
        </w:rPr>
        <w:t xml:space="preserve">taken suitable action to address </w:t>
      </w:r>
      <w:r w:rsidR="00537D60" w:rsidRPr="006311ED">
        <w:rPr>
          <w:rFonts w:ascii="Arial" w:hAnsi="Arial" w:cs="Arial"/>
          <w:bCs/>
          <w:sz w:val="20"/>
          <w:szCs w:val="20"/>
        </w:rPr>
        <w:t xml:space="preserve">all aspects in support of </w:t>
      </w:r>
      <w:r w:rsidR="00867D5C">
        <w:rPr>
          <w:rFonts w:ascii="Arial" w:hAnsi="Arial" w:cs="Arial"/>
          <w:bCs/>
          <w:sz w:val="20"/>
          <w:szCs w:val="20"/>
        </w:rPr>
        <w:t xml:space="preserve">them </w:t>
      </w:r>
      <w:r w:rsidR="008E395B" w:rsidRPr="006311ED">
        <w:rPr>
          <w:rFonts w:ascii="Arial" w:hAnsi="Arial" w:cs="Arial"/>
          <w:bCs/>
          <w:sz w:val="20"/>
          <w:szCs w:val="20"/>
        </w:rPr>
        <w:t xml:space="preserve">applying </w:t>
      </w:r>
      <w:r w:rsidR="00537D60" w:rsidRPr="006311ED">
        <w:rPr>
          <w:rFonts w:ascii="Arial" w:hAnsi="Arial" w:cs="Arial"/>
          <w:bCs/>
          <w:sz w:val="20"/>
          <w:szCs w:val="20"/>
        </w:rPr>
        <w:t xml:space="preserve">the </w:t>
      </w:r>
      <w:r w:rsidR="00AC1563" w:rsidRPr="006311ED">
        <w:rPr>
          <w:rFonts w:ascii="Arial" w:hAnsi="Arial" w:cs="Arial"/>
          <w:bCs/>
          <w:sz w:val="20"/>
          <w:szCs w:val="20"/>
        </w:rPr>
        <w:t>alternative</w:t>
      </w:r>
      <w:r w:rsidR="00537D60" w:rsidRPr="006311ED">
        <w:rPr>
          <w:rFonts w:ascii="Arial" w:hAnsi="Arial" w:cs="Arial"/>
          <w:bCs/>
          <w:sz w:val="20"/>
          <w:szCs w:val="20"/>
        </w:rPr>
        <w:t xml:space="preserve"> approach. </w:t>
      </w:r>
      <w:r w:rsidR="005970E3">
        <w:rPr>
          <w:rFonts w:ascii="Arial" w:hAnsi="Arial" w:cs="Arial"/>
          <w:bCs/>
          <w:sz w:val="20"/>
          <w:szCs w:val="20"/>
        </w:rPr>
        <w:t>Expanded</w:t>
      </w:r>
      <w:r w:rsidR="00C1437F" w:rsidRPr="006311ED">
        <w:rPr>
          <w:rFonts w:ascii="Arial" w:hAnsi="Arial" w:cs="Arial"/>
          <w:bCs/>
          <w:sz w:val="20"/>
          <w:szCs w:val="20"/>
        </w:rPr>
        <w:t xml:space="preserve"> detail will </w:t>
      </w:r>
      <w:r w:rsidR="007E47D2" w:rsidRPr="006311ED">
        <w:rPr>
          <w:rFonts w:ascii="Arial" w:hAnsi="Arial" w:cs="Arial"/>
          <w:bCs/>
          <w:sz w:val="20"/>
          <w:szCs w:val="20"/>
        </w:rPr>
        <w:t xml:space="preserve">be provided within the final declaration that </w:t>
      </w:r>
      <w:r w:rsidR="00661E84">
        <w:rPr>
          <w:rFonts w:ascii="Arial" w:hAnsi="Arial" w:cs="Arial"/>
          <w:bCs/>
          <w:sz w:val="20"/>
          <w:szCs w:val="20"/>
        </w:rPr>
        <w:t xml:space="preserve">the </w:t>
      </w:r>
      <w:r w:rsidR="00661E84">
        <w:rPr>
          <w:rFonts w:ascii="Arial" w:hAnsi="Arial" w:cs="Arial"/>
          <w:sz w:val="20"/>
          <w:szCs w:val="20"/>
        </w:rPr>
        <w:t>Laboratory</w:t>
      </w:r>
      <w:r w:rsidR="00661E84" w:rsidRPr="00A57A34">
        <w:rPr>
          <w:rFonts w:ascii="Arial" w:hAnsi="Arial" w:cs="Arial"/>
          <w:sz w:val="20"/>
          <w:szCs w:val="20"/>
        </w:rPr>
        <w:t xml:space="preserve"> </w:t>
      </w:r>
      <w:r w:rsidR="007E47D2" w:rsidRPr="006311ED">
        <w:rPr>
          <w:rFonts w:ascii="Arial" w:hAnsi="Arial" w:cs="Arial"/>
          <w:bCs/>
          <w:sz w:val="20"/>
          <w:szCs w:val="20"/>
        </w:rPr>
        <w:t>will need to submit in support of their ETS</w:t>
      </w:r>
      <w:r w:rsidR="008E395B" w:rsidRPr="006311ED">
        <w:rPr>
          <w:rFonts w:ascii="Arial" w:hAnsi="Arial" w:cs="Arial"/>
          <w:bCs/>
          <w:sz w:val="20"/>
          <w:szCs w:val="20"/>
        </w:rPr>
        <w:t xml:space="preserve"> at the time of applying</w:t>
      </w:r>
      <w:r w:rsidR="00946B53" w:rsidRPr="006311ED">
        <w:rPr>
          <w:rFonts w:ascii="Arial" w:hAnsi="Arial" w:cs="Arial"/>
          <w:bCs/>
          <w:sz w:val="20"/>
          <w:szCs w:val="20"/>
        </w:rPr>
        <w:t>.</w:t>
      </w:r>
      <w:r w:rsidR="0072146A" w:rsidRPr="006311ED">
        <w:rPr>
          <w:rFonts w:ascii="Arial" w:hAnsi="Arial" w:cs="Arial"/>
          <w:bCs/>
          <w:sz w:val="20"/>
          <w:szCs w:val="20"/>
        </w:rPr>
        <w:t xml:space="preserve"> </w:t>
      </w:r>
    </w:p>
    <w:p w:rsidR="00946B53" w:rsidRPr="006311ED" w:rsidRDefault="00946B53" w:rsidP="00D935A1">
      <w:pPr>
        <w:tabs>
          <w:tab w:val="left" w:pos="360"/>
        </w:tabs>
        <w:jc w:val="both"/>
        <w:rPr>
          <w:rFonts w:ascii="Arial" w:hAnsi="Arial" w:cs="Arial"/>
          <w:bCs/>
          <w:sz w:val="20"/>
          <w:szCs w:val="20"/>
        </w:rPr>
      </w:pPr>
    </w:p>
    <w:p w:rsidR="00AE24FD" w:rsidRPr="006311ED" w:rsidRDefault="00095792" w:rsidP="00D935A1">
      <w:pPr>
        <w:tabs>
          <w:tab w:val="left" w:pos="360"/>
        </w:tabs>
        <w:jc w:val="both"/>
        <w:rPr>
          <w:rFonts w:ascii="Arial" w:hAnsi="Arial" w:cs="Arial"/>
          <w:b/>
          <w:sz w:val="20"/>
          <w:szCs w:val="20"/>
        </w:rPr>
      </w:pPr>
      <w:r w:rsidRPr="006311ED">
        <w:rPr>
          <w:rFonts w:ascii="Arial" w:hAnsi="Arial" w:cs="Arial"/>
          <w:b/>
          <w:sz w:val="20"/>
          <w:szCs w:val="20"/>
        </w:rPr>
        <w:t xml:space="preserve">Aspects to be reviewed and actioned by </w:t>
      </w:r>
      <w:r w:rsidR="00661E84" w:rsidRPr="006311ED">
        <w:rPr>
          <w:rFonts w:ascii="Arial" w:hAnsi="Arial" w:cs="Arial"/>
          <w:b/>
          <w:sz w:val="20"/>
          <w:szCs w:val="20"/>
        </w:rPr>
        <w:t xml:space="preserve">the Laboratory </w:t>
      </w:r>
      <w:r w:rsidRPr="006311ED">
        <w:rPr>
          <w:rFonts w:ascii="Arial" w:hAnsi="Arial" w:cs="Arial"/>
          <w:b/>
          <w:sz w:val="20"/>
          <w:szCs w:val="20"/>
        </w:rPr>
        <w:t>as required</w:t>
      </w:r>
      <w:r w:rsidR="00F06BD0" w:rsidRPr="006311ED">
        <w:rPr>
          <w:rFonts w:ascii="Arial" w:hAnsi="Arial" w:cs="Arial"/>
          <w:b/>
          <w:sz w:val="20"/>
          <w:szCs w:val="20"/>
        </w:rPr>
        <w:t xml:space="preserve"> including</w:t>
      </w:r>
      <w:r w:rsidR="00AE24FD" w:rsidRPr="006311ED">
        <w:rPr>
          <w:rFonts w:ascii="Arial" w:hAnsi="Arial" w:cs="Arial"/>
          <w:b/>
          <w:sz w:val="20"/>
          <w:szCs w:val="20"/>
        </w:rPr>
        <w:t>:</w:t>
      </w:r>
    </w:p>
    <w:p w:rsidR="00946B53" w:rsidRPr="00A57A34" w:rsidRDefault="00946B53" w:rsidP="00D935A1">
      <w:pPr>
        <w:tabs>
          <w:tab w:val="left" w:pos="360"/>
        </w:tabs>
        <w:jc w:val="both"/>
        <w:rPr>
          <w:rFonts w:ascii="Arial" w:hAnsi="Arial" w:cs="Arial"/>
          <w:b/>
          <w:sz w:val="20"/>
          <w:szCs w:val="20"/>
        </w:rPr>
      </w:pPr>
    </w:p>
    <w:p w:rsidR="00D935A1" w:rsidRPr="00A57A34" w:rsidRDefault="00D935A1" w:rsidP="00D935A1">
      <w:pPr>
        <w:tabs>
          <w:tab w:val="left" w:pos="360"/>
        </w:tabs>
        <w:jc w:val="both"/>
        <w:rPr>
          <w:rFonts w:ascii="Arial" w:hAnsi="Arial" w:cs="Arial"/>
          <w:sz w:val="20"/>
          <w:szCs w:val="20"/>
        </w:rPr>
      </w:pPr>
      <w:r w:rsidRPr="00A57A34">
        <w:rPr>
          <w:rFonts w:ascii="Arial" w:hAnsi="Arial" w:cs="Arial"/>
          <w:b/>
          <w:sz w:val="20"/>
          <w:szCs w:val="20"/>
        </w:rPr>
        <w:t>ISO/IEC 17025 Sec 6.2</w:t>
      </w:r>
      <w:r w:rsidRPr="00A57A34">
        <w:rPr>
          <w:rFonts w:ascii="Arial" w:hAnsi="Arial" w:cs="Arial"/>
          <w:sz w:val="20"/>
          <w:szCs w:val="20"/>
        </w:rPr>
        <w:t xml:space="preserve"> </w:t>
      </w:r>
      <w:r w:rsidRPr="00A57A34">
        <w:rPr>
          <w:rFonts w:ascii="Arial" w:hAnsi="Arial" w:cs="Arial"/>
          <w:b/>
          <w:sz w:val="20"/>
          <w:szCs w:val="20"/>
        </w:rPr>
        <w:t>Training and Competence</w:t>
      </w:r>
    </w:p>
    <w:p w:rsidR="00D935A1" w:rsidRPr="00A57A34" w:rsidRDefault="00D935A1" w:rsidP="00D935A1">
      <w:pPr>
        <w:numPr>
          <w:ilvl w:val="0"/>
          <w:numId w:val="2"/>
        </w:numPr>
        <w:tabs>
          <w:tab w:val="clear" w:pos="720"/>
          <w:tab w:val="left" w:pos="709"/>
        </w:tabs>
        <w:ind w:left="709" w:hanging="425"/>
        <w:jc w:val="both"/>
        <w:rPr>
          <w:rFonts w:ascii="Arial" w:hAnsi="Arial" w:cs="Arial"/>
          <w:sz w:val="20"/>
          <w:szCs w:val="20"/>
        </w:rPr>
      </w:pPr>
      <w:r w:rsidRPr="00A57A34">
        <w:rPr>
          <w:rFonts w:ascii="Arial" w:hAnsi="Arial" w:cs="Arial"/>
          <w:sz w:val="20"/>
          <w:szCs w:val="20"/>
        </w:rPr>
        <w:t>Training programme, records and authorisation criteria have been reviewed and amended as appropriate</w:t>
      </w:r>
      <w:r w:rsidR="00C031EE">
        <w:rPr>
          <w:rFonts w:ascii="Arial" w:hAnsi="Arial" w:cs="Arial"/>
          <w:sz w:val="20"/>
          <w:szCs w:val="20"/>
        </w:rPr>
        <w:t xml:space="preserve">. This will include training </w:t>
      </w:r>
      <w:r w:rsidRPr="00A57A34">
        <w:rPr>
          <w:rFonts w:ascii="Arial" w:hAnsi="Arial" w:cs="Arial"/>
          <w:sz w:val="20"/>
          <w:szCs w:val="20"/>
        </w:rPr>
        <w:t xml:space="preserve">in order to support </w:t>
      </w:r>
      <w:r w:rsidR="007D0A78">
        <w:rPr>
          <w:rFonts w:ascii="Arial" w:hAnsi="Arial" w:cs="Arial"/>
          <w:sz w:val="20"/>
          <w:szCs w:val="20"/>
        </w:rPr>
        <w:t xml:space="preserve">analysts </w:t>
      </w:r>
      <w:r w:rsidR="00BF178A">
        <w:rPr>
          <w:rFonts w:ascii="Arial" w:hAnsi="Arial" w:cs="Arial"/>
          <w:sz w:val="20"/>
          <w:szCs w:val="20"/>
        </w:rPr>
        <w:t xml:space="preserve">being able to </w:t>
      </w:r>
      <w:r w:rsidRPr="00A57A34">
        <w:rPr>
          <w:rFonts w:ascii="Arial" w:hAnsi="Arial" w:cs="Arial"/>
          <w:sz w:val="20"/>
          <w:szCs w:val="20"/>
        </w:rPr>
        <w:t xml:space="preserve">correctly identify </w:t>
      </w:r>
      <w:proofErr w:type="gramStart"/>
      <w:r w:rsidRPr="00A57A34">
        <w:rPr>
          <w:rFonts w:ascii="Arial" w:hAnsi="Arial" w:cs="Arial"/>
          <w:sz w:val="20"/>
          <w:szCs w:val="20"/>
        </w:rPr>
        <w:t>Non-asbestos</w:t>
      </w:r>
      <w:proofErr w:type="gramEnd"/>
      <w:r w:rsidRPr="00A57A34">
        <w:rPr>
          <w:rFonts w:ascii="Arial" w:hAnsi="Arial" w:cs="Arial"/>
          <w:sz w:val="20"/>
          <w:szCs w:val="20"/>
        </w:rPr>
        <w:t xml:space="preserve"> construction </w:t>
      </w:r>
      <w:r w:rsidR="002C1494" w:rsidRPr="00A57A34">
        <w:rPr>
          <w:rFonts w:ascii="Arial" w:hAnsi="Arial" w:cs="Arial"/>
          <w:sz w:val="20"/>
          <w:szCs w:val="20"/>
        </w:rPr>
        <w:t xml:space="preserve">sample </w:t>
      </w:r>
      <w:r w:rsidR="009F0D21" w:rsidRPr="00A57A34">
        <w:rPr>
          <w:rFonts w:ascii="Arial" w:hAnsi="Arial" w:cs="Arial"/>
          <w:sz w:val="20"/>
          <w:szCs w:val="20"/>
        </w:rPr>
        <w:t xml:space="preserve">(NACS) </w:t>
      </w:r>
      <w:r w:rsidRPr="00A57A34">
        <w:rPr>
          <w:rFonts w:ascii="Arial" w:hAnsi="Arial" w:cs="Arial"/>
          <w:sz w:val="20"/>
          <w:szCs w:val="20"/>
        </w:rPr>
        <w:t>materials and the impacts of this e.g. revised scoring of materials;</w:t>
      </w:r>
    </w:p>
    <w:p w:rsidR="00D935A1" w:rsidRPr="00A57A34" w:rsidRDefault="00D935A1" w:rsidP="00D935A1">
      <w:pPr>
        <w:numPr>
          <w:ilvl w:val="0"/>
          <w:numId w:val="2"/>
        </w:numPr>
        <w:tabs>
          <w:tab w:val="clear" w:pos="720"/>
          <w:tab w:val="left" w:pos="709"/>
        </w:tabs>
        <w:ind w:left="709" w:hanging="425"/>
        <w:jc w:val="both"/>
        <w:rPr>
          <w:rFonts w:ascii="Arial" w:hAnsi="Arial" w:cs="Arial"/>
          <w:sz w:val="20"/>
          <w:szCs w:val="20"/>
        </w:rPr>
      </w:pPr>
      <w:r w:rsidRPr="00A57A34">
        <w:rPr>
          <w:rFonts w:ascii="Arial" w:hAnsi="Arial" w:cs="Arial"/>
          <w:sz w:val="20"/>
          <w:szCs w:val="20"/>
        </w:rPr>
        <w:t>Reauthorisation of testing staff has been undertaken</w:t>
      </w:r>
      <w:r w:rsidR="009E2BFA">
        <w:rPr>
          <w:rFonts w:ascii="Arial" w:hAnsi="Arial" w:cs="Arial"/>
          <w:sz w:val="20"/>
          <w:szCs w:val="20"/>
        </w:rPr>
        <w:t xml:space="preserve"> as </w:t>
      </w:r>
      <w:proofErr w:type="gramStart"/>
      <w:r w:rsidR="009E2BFA">
        <w:rPr>
          <w:rFonts w:ascii="Arial" w:hAnsi="Arial" w:cs="Arial"/>
          <w:sz w:val="20"/>
          <w:szCs w:val="20"/>
        </w:rPr>
        <w:t>required</w:t>
      </w:r>
      <w:r w:rsidRPr="00A57A34">
        <w:rPr>
          <w:rFonts w:ascii="Arial" w:hAnsi="Arial" w:cs="Arial"/>
          <w:sz w:val="20"/>
          <w:szCs w:val="20"/>
        </w:rPr>
        <w:t>;</w:t>
      </w:r>
      <w:proofErr w:type="gramEnd"/>
    </w:p>
    <w:p w:rsidR="00B21834" w:rsidRPr="00A57A34" w:rsidRDefault="00B21834" w:rsidP="00B21834">
      <w:pPr>
        <w:tabs>
          <w:tab w:val="left" w:pos="709"/>
        </w:tabs>
        <w:jc w:val="both"/>
        <w:rPr>
          <w:rFonts w:ascii="Arial" w:hAnsi="Arial" w:cs="Arial"/>
          <w:sz w:val="20"/>
          <w:szCs w:val="20"/>
        </w:rPr>
      </w:pPr>
    </w:p>
    <w:p w:rsidR="00D935A1" w:rsidRPr="00A57A34" w:rsidRDefault="00D935A1" w:rsidP="00D935A1">
      <w:pPr>
        <w:tabs>
          <w:tab w:val="left" w:pos="360"/>
        </w:tabs>
        <w:jc w:val="both"/>
        <w:rPr>
          <w:rFonts w:ascii="Arial" w:hAnsi="Arial" w:cs="Arial"/>
          <w:b/>
          <w:sz w:val="20"/>
          <w:szCs w:val="20"/>
        </w:rPr>
      </w:pPr>
      <w:bookmarkStart w:id="0" w:name="_Hlk66691024"/>
      <w:r w:rsidRPr="00A57A34">
        <w:rPr>
          <w:rFonts w:ascii="Arial" w:hAnsi="Arial" w:cs="Arial"/>
          <w:b/>
          <w:sz w:val="20"/>
          <w:szCs w:val="20"/>
        </w:rPr>
        <w:t xml:space="preserve">ISO/IEC 17025 Sec </w:t>
      </w:r>
      <w:bookmarkEnd w:id="0"/>
      <w:r w:rsidRPr="00A57A34">
        <w:rPr>
          <w:rFonts w:ascii="Arial" w:hAnsi="Arial" w:cs="Arial"/>
          <w:b/>
          <w:sz w:val="20"/>
          <w:szCs w:val="20"/>
        </w:rPr>
        <w:t>7.1 Review of Requests Tenders and Contracts</w:t>
      </w:r>
    </w:p>
    <w:p w:rsidR="0044408E" w:rsidRPr="00A57A34" w:rsidRDefault="00D935A1" w:rsidP="00D935A1">
      <w:pPr>
        <w:pStyle w:val="Pa28"/>
        <w:spacing w:before="100" w:after="180"/>
        <w:jc w:val="both"/>
        <w:rPr>
          <w:rFonts w:ascii="Arial" w:hAnsi="Arial" w:cs="Arial"/>
          <w:sz w:val="20"/>
          <w:szCs w:val="20"/>
        </w:rPr>
      </w:pPr>
      <w:r w:rsidRPr="00A57A34">
        <w:rPr>
          <w:rFonts w:ascii="Arial" w:hAnsi="Arial" w:cs="Arial"/>
          <w:b/>
          <w:bCs/>
          <w:sz w:val="20"/>
          <w:szCs w:val="20"/>
        </w:rPr>
        <w:t xml:space="preserve">7.1.4 </w:t>
      </w:r>
      <w:r w:rsidR="00894349" w:rsidRPr="00A57A34">
        <w:rPr>
          <w:rFonts w:ascii="Arial" w:hAnsi="Arial" w:cs="Arial"/>
          <w:sz w:val="20"/>
          <w:szCs w:val="20"/>
        </w:rPr>
        <w:t xml:space="preserve">The </w:t>
      </w:r>
      <w:r w:rsidR="001A2379">
        <w:rPr>
          <w:rFonts w:ascii="Arial" w:hAnsi="Arial" w:cs="Arial"/>
          <w:sz w:val="20"/>
          <w:szCs w:val="20"/>
        </w:rPr>
        <w:t>Laboratory</w:t>
      </w:r>
      <w:r w:rsidR="00894349" w:rsidRPr="00A57A34">
        <w:rPr>
          <w:rFonts w:ascii="Arial" w:hAnsi="Arial" w:cs="Arial"/>
          <w:sz w:val="20"/>
          <w:szCs w:val="20"/>
        </w:rPr>
        <w:t xml:space="preserve"> shall request suitable</w:t>
      </w:r>
      <w:r w:rsidR="004A087C" w:rsidRPr="00A57A34">
        <w:rPr>
          <w:rFonts w:ascii="Arial" w:hAnsi="Arial" w:cs="Arial"/>
          <w:sz w:val="20"/>
          <w:szCs w:val="20"/>
        </w:rPr>
        <w:t xml:space="preserve"> and sufficient information</w:t>
      </w:r>
      <w:r w:rsidR="00F56953" w:rsidRPr="00A57A34">
        <w:rPr>
          <w:rFonts w:ascii="Arial" w:hAnsi="Arial" w:cs="Arial"/>
          <w:sz w:val="20"/>
          <w:szCs w:val="20"/>
        </w:rPr>
        <w:t xml:space="preserve"> as part of their </w:t>
      </w:r>
      <w:r w:rsidR="00716B20" w:rsidRPr="00A57A34">
        <w:rPr>
          <w:rFonts w:ascii="Arial" w:hAnsi="Arial" w:cs="Arial"/>
          <w:sz w:val="20"/>
          <w:szCs w:val="20"/>
        </w:rPr>
        <w:t>defined</w:t>
      </w:r>
      <w:r w:rsidR="00F56953" w:rsidRPr="00A57A34">
        <w:rPr>
          <w:rFonts w:ascii="Arial" w:hAnsi="Arial" w:cs="Arial"/>
          <w:sz w:val="20"/>
          <w:szCs w:val="20"/>
        </w:rPr>
        <w:t xml:space="preserve"> contract review procedures</w:t>
      </w:r>
      <w:r w:rsidR="00716B20" w:rsidRPr="00A57A34">
        <w:rPr>
          <w:rFonts w:ascii="Arial" w:hAnsi="Arial" w:cs="Arial"/>
          <w:sz w:val="20"/>
          <w:szCs w:val="20"/>
        </w:rPr>
        <w:t>,</w:t>
      </w:r>
      <w:r w:rsidR="004A087C" w:rsidRPr="00A57A34">
        <w:rPr>
          <w:rFonts w:ascii="Arial" w:hAnsi="Arial" w:cs="Arial"/>
          <w:sz w:val="20"/>
          <w:szCs w:val="20"/>
        </w:rPr>
        <w:t xml:space="preserve"> </w:t>
      </w:r>
      <w:proofErr w:type="gramStart"/>
      <w:r w:rsidR="004A087C" w:rsidRPr="00A57A34">
        <w:rPr>
          <w:rFonts w:ascii="Arial" w:hAnsi="Arial" w:cs="Arial"/>
          <w:sz w:val="20"/>
          <w:szCs w:val="20"/>
        </w:rPr>
        <w:t>in order to</w:t>
      </w:r>
      <w:proofErr w:type="gramEnd"/>
      <w:r w:rsidR="004A087C" w:rsidRPr="00A57A34">
        <w:rPr>
          <w:rFonts w:ascii="Arial" w:hAnsi="Arial" w:cs="Arial"/>
          <w:sz w:val="20"/>
          <w:szCs w:val="20"/>
        </w:rPr>
        <w:t xml:space="preserve"> make an inform</w:t>
      </w:r>
      <w:r w:rsidR="008E1EE6" w:rsidRPr="00A57A34">
        <w:rPr>
          <w:rFonts w:ascii="Arial" w:hAnsi="Arial" w:cs="Arial"/>
          <w:sz w:val="20"/>
          <w:szCs w:val="20"/>
        </w:rPr>
        <w:t>ed</w:t>
      </w:r>
      <w:r w:rsidR="004A087C" w:rsidRPr="00A57A34">
        <w:rPr>
          <w:rFonts w:ascii="Arial" w:hAnsi="Arial" w:cs="Arial"/>
          <w:sz w:val="20"/>
          <w:szCs w:val="20"/>
        </w:rPr>
        <w:t xml:space="preserve"> </w:t>
      </w:r>
      <w:r w:rsidR="00F742F4" w:rsidRPr="00A57A34">
        <w:rPr>
          <w:rFonts w:ascii="Arial" w:hAnsi="Arial" w:cs="Arial"/>
          <w:sz w:val="20"/>
          <w:szCs w:val="20"/>
        </w:rPr>
        <w:t xml:space="preserve">decision on which to justify the approach </w:t>
      </w:r>
      <w:r w:rsidR="008E1EE6" w:rsidRPr="00A57A34">
        <w:rPr>
          <w:rFonts w:ascii="Arial" w:hAnsi="Arial" w:cs="Arial"/>
          <w:sz w:val="20"/>
          <w:szCs w:val="20"/>
        </w:rPr>
        <w:t xml:space="preserve">taken </w:t>
      </w:r>
      <w:r w:rsidR="00747702" w:rsidRPr="00A57A34">
        <w:rPr>
          <w:rFonts w:ascii="Arial" w:hAnsi="Arial" w:cs="Arial"/>
          <w:sz w:val="20"/>
          <w:szCs w:val="20"/>
        </w:rPr>
        <w:t>for analysis</w:t>
      </w:r>
      <w:r w:rsidRPr="00A57A34">
        <w:rPr>
          <w:rFonts w:ascii="Arial" w:hAnsi="Arial" w:cs="Arial"/>
          <w:sz w:val="20"/>
          <w:szCs w:val="20"/>
        </w:rPr>
        <w:t xml:space="preserve">. </w:t>
      </w:r>
    </w:p>
    <w:p w:rsidR="00D935A1" w:rsidRPr="00A57A34" w:rsidRDefault="00D935A1" w:rsidP="00D935A1">
      <w:pPr>
        <w:pStyle w:val="Pa28"/>
        <w:spacing w:before="100" w:after="180"/>
        <w:jc w:val="both"/>
        <w:rPr>
          <w:rFonts w:ascii="Arial" w:hAnsi="Arial" w:cs="Arial"/>
          <w:sz w:val="20"/>
          <w:szCs w:val="20"/>
        </w:rPr>
      </w:pPr>
      <w:r w:rsidRPr="00A57A34">
        <w:rPr>
          <w:rFonts w:ascii="Arial" w:hAnsi="Arial" w:cs="Arial"/>
          <w:sz w:val="20"/>
          <w:szCs w:val="20"/>
        </w:rPr>
        <w:t>Each contract shall be acceptable both to the laboratory and the customer. Deviations requested by the customer shall not impact the integrity of the laboratory or the validity of the results.</w:t>
      </w:r>
      <w:r w:rsidR="00661E84">
        <w:rPr>
          <w:rFonts w:ascii="Arial" w:hAnsi="Arial" w:cs="Arial"/>
          <w:sz w:val="20"/>
          <w:szCs w:val="20"/>
        </w:rPr>
        <w:t xml:space="preserve"> </w:t>
      </w:r>
      <w:r w:rsidR="001A2379">
        <w:rPr>
          <w:rFonts w:ascii="Arial" w:hAnsi="Arial" w:cs="Arial"/>
          <w:sz w:val="20"/>
          <w:szCs w:val="20"/>
        </w:rPr>
        <w:t xml:space="preserve">The </w:t>
      </w:r>
      <w:r w:rsidR="00661E84">
        <w:rPr>
          <w:rFonts w:ascii="Arial" w:hAnsi="Arial" w:cs="Arial"/>
          <w:sz w:val="20"/>
          <w:szCs w:val="20"/>
        </w:rPr>
        <w:t>Laboratory</w:t>
      </w:r>
      <w:r w:rsidR="00661E84" w:rsidRPr="00A57A34">
        <w:rPr>
          <w:rFonts w:ascii="Arial" w:hAnsi="Arial" w:cs="Arial"/>
          <w:sz w:val="20"/>
          <w:szCs w:val="20"/>
        </w:rPr>
        <w:t xml:space="preserve"> </w:t>
      </w:r>
      <w:r w:rsidR="0044408E" w:rsidRPr="00A57A34">
        <w:rPr>
          <w:rFonts w:ascii="Arial" w:hAnsi="Arial" w:cs="Arial"/>
          <w:sz w:val="20"/>
          <w:szCs w:val="20"/>
        </w:rPr>
        <w:t xml:space="preserve">shall not use </w:t>
      </w:r>
      <w:r w:rsidR="00D64885" w:rsidRPr="00A57A34">
        <w:rPr>
          <w:rFonts w:ascii="Arial" w:hAnsi="Arial" w:cs="Arial"/>
          <w:sz w:val="20"/>
          <w:szCs w:val="20"/>
        </w:rPr>
        <w:t xml:space="preserve">the use of the alternative approach as a tool to </w:t>
      </w:r>
      <w:r w:rsidR="002F3498" w:rsidRPr="00A57A34">
        <w:rPr>
          <w:rFonts w:ascii="Arial" w:hAnsi="Arial" w:cs="Arial"/>
          <w:sz w:val="20"/>
          <w:szCs w:val="20"/>
        </w:rPr>
        <w:t>market themselves.</w:t>
      </w:r>
    </w:p>
    <w:p w:rsidR="00D935A1" w:rsidRPr="006311ED" w:rsidRDefault="00D935A1" w:rsidP="006311ED">
      <w:pPr>
        <w:tabs>
          <w:tab w:val="left" w:pos="360"/>
        </w:tabs>
        <w:jc w:val="both"/>
        <w:rPr>
          <w:rFonts w:ascii="Arial" w:hAnsi="Arial" w:cs="Arial"/>
          <w:sz w:val="20"/>
          <w:szCs w:val="20"/>
        </w:rPr>
      </w:pPr>
      <w:r w:rsidRPr="006311ED">
        <w:rPr>
          <w:rFonts w:ascii="Arial" w:hAnsi="Arial" w:cs="Arial"/>
          <w:b/>
          <w:bCs/>
          <w:sz w:val="20"/>
          <w:szCs w:val="20"/>
        </w:rPr>
        <w:t xml:space="preserve">7.1.5 </w:t>
      </w:r>
      <w:r w:rsidR="00DA2BD3" w:rsidRPr="006311ED">
        <w:rPr>
          <w:rFonts w:ascii="Arial" w:hAnsi="Arial" w:cs="Arial"/>
          <w:sz w:val="20"/>
          <w:szCs w:val="20"/>
        </w:rPr>
        <w:t>Suita</w:t>
      </w:r>
      <w:r w:rsidR="00B07142" w:rsidRPr="006311ED">
        <w:rPr>
          <w:rFonts w:ascii="Arial" w:hAnsi="Arial" w:cs="Arial"/>
          <w:sz w:val="20"/>
          <w:szCs w:val="20"/>
        </w:rPr>
        <w:t>ble procedures and mechanism for undertaking co</w:t>
      </w:r>
      <w:r w:rsidR="00F4194E" w:rsidRPr="006311ED">
        <w:rPr>
          <w:rFonts w:ascii="Arial" w:hAnsi="Arial" w:cs="Arial"/>
          <w:sz w:val="20"/>
          <w:szCs w:val="20"/>
        </w:rPr>
        <w:t xml:space="preserve">ntract review </w:t>
      </w:r>
      <w:r w:rsidR="00316FA8" w:rsidRPr="006311ED">
        <w:rPr>
          <w:rFonts w:ascii="Arial" w:hAnsi="Arial" w:cs="Arial"/>
          <w:sz w:val="20"/>
          <w:szCs w:val="20"/>
        </w:rPr>
        <w:t>for</w:t>
      </w:r>
      <w:r w:rsidR="00F4194E" w:rsidRPr="006311ED">
        <w:rPr>
          <w:rFonts w:ascii="Arial" w:hAnsi="Arial" w:cs="Arial"/>
          <w:sz w:val="20"/>
          <w:szCs w:val="20"/>
        </w:rPr>
        <w:t xml:space="preserve"> bulk anal</w:t>
      </w:r>
      <w:r w:rsidR="00316FA8" w:rsidRPr="006311ED">
        <w:rPr>
          <w:rFonts w:ascii="Arial" w:hAnsi="Arial" w:cs="Arial"/>
          <w:sz w:val="20"/>
          <w:szCs w:val="20"/>
        </w:rPr>
        <w:t>ysis</w:t>
      </w:r>
      <w:r w:rsidR="00B07142" w:rsidRPr="006311ED">
        <w:rPr>
          <w:rFonts w:ascii="Arial" w:hAnsi="Arial" w:cs="Arial"/>
          <w:sz w:val="20"/>
          <w:szCs w:val="20"/>
        </w:rPr>
        <w:t xml:space="preserve">  </w:t>
      </w:r>
    </w:p>
    <w:p w:rsidR="006D274C" w:rsidRPr="00A57A34" w:rsidRDefault="006D274C" w:rsidP="006D274C">
      <w:pPr>
        <w:tabs>
          <w:tab w:val="left" w:pos="360"/>
        </w:tabs>
        <w:jc w:val="both"/>
        <w:rPr>
          <w:rFonts w:ascii="Arial" w:hAnsi="Arial" w:cs="Arial"/>
          <w:color w:val="FF0000"/>
          <w:sz w:val="20"/>
          <w:szCs w:val="20"/>
        </w:rPr>
      </w:pPr>
    </w:p>
    <w:p w:rsidR="00D935A1" w:rsidRPr="00A57A34" w:rsidRDefault="00D935A1" w:rsidP="00D935A1">
      <w:pPr>
        <w:tabs>
          <w:tab w:val="left" w:pos="360"/>
        </w:tabs>
        <w:ind w:left="426" w:hanging="426"/>
        <w:jc w:val="both"/>
        <w:rPr>
          <w:rFonts w:ascii="Arial" w:hAnsi="Arial" w:cs="Arial"/>
          <w:b/>
          <w:sz w:val="20"/>
          <w:szCs w:val="20"/>
        </w:rPr>
      </w:pPr>
      <w:r w:rsidRPr="00A57A34">
        <w:rPr>
          <w:rFonts w:ascii="Arial" w:hAnsi="Arial" w:cs="Arial"/>
          <w:b/>
          <w:sz w:val="20"/>
          <w:szCs w:val="20"/>
        </w:rPr>
        <w:t>ISO/IEC 17025 Sec 7.2</w:t>
      </w:r>
      <w:r w:rsidRPr="00A57A34">
        <w:rPr>
          <w:rFonts w:ascii="Arial" w:hAnsi="Arial" w:cs="Arial"/>
          <w:sz w:val="20"/>
          <w:szCs w:val="20"/>
        </w:rPr>
        <w:t xml:space="preserve"> </w:t>
      </w:r>
      <w:r w:rsidRPr="00A57A34">
        <w:rPr>
          <w:rFonts w:ascii="Arial" w:hAnsi="Arial" w:cs="Arial"/>
          <w:b/>
          <w:sz w:val="20"/>
          <w:szCs w:val="20"/>
        </w:rPr>
        <w:t>Selection of Method</w:t>
      </w:r>
    </w:p>
    <w:p w:rsidR="00D935A1" w:rsidRPr="00A57A34" w:rsidRDefault="00D935A1" w:rsidP="00D935A1">
      <w:pPr>
        <w:numPr>
          <w:ilvl w:val="0"/>
          <w:numId w:val="2"/>
        </w:numPr>
        <w:tabs>
          <w:tab w:val="clear" w:pos="720"/>
          <w:tab w:val="left" w:pos="709"/>
        </w:tabs>
        <w:autoSpaceDE w:val="0"/>
        <w:autoSpaceDN w:val="0"/>
        <w:adjustRightInd w:val="0"/>
        <w:ind w:left="709" w:hanging="425"/>
        <w:jc w:val="both"/>
        <w:rPr>
          <w:rFonts w:ascii="Arial" w:hAnsi="Arial" w:cs="Arial"/>
          <w:sz w:val="20"/>
          <w:szCs w:val="20"/>
        </w:rPr>
      </w:pPr>
      <w:r w:rsidRPr="00A57A34">
        <w:rPr>
          <w:rFonts w:ascii="Arial" w:hAnsi="Arial" w:cs="Arial"/>
          <w:sz w:val="20"/>
          <w:szCs w:val="20"/>
        </w:rPr>
        <w:t xml:space="preserve">Suitable action has been taken for the review and revision of test methods </w:t>
      </w:r>
      <w:r w:rsidR="00315ACA" w:rsidRPr="00A57A34">
        <w:rPr>
          <w:rFonts w:ascii="Arial" w:hAnsi="Arial" w:cs="Arial"/>
          <w:sz w:val="20"/>
          <w:szCs w:val="20"/>
        </w:rPr>
        <w:t xml:space="preserve">to ensure </w:t>
      </w:r>
      <w:r w:rsidR="0051289C" w:rsidRPr="00A57A34">
        <w:rPr>
          <w:rFonts w:ascii="Arial" w:hAnsi="Arial" w:cs="Arial"/>
          <w:sz w:val="20"/>
          <w:szCs w:val="20"/>
        </w:rPr>
        <w:t xml:space="preserve">methodologies are updated </w:t>
      </w:r>
      <w:r w:rsidRPr="00A57A34">
        <w:rPr>
          <w:rFonts w:ascii="Arial" w:hAnsi="Arial" w:cs="Arial"/>
          <w:sz w:val="20"/>
          <w:szCs w:val="20"/>
        </w:rPr>
        <w:t xml:space="preserve"> </w:t>
      </w:r>
    </w:p>
    <w:p w:rsidR="00D935A1" w:rsidRPr="00A57A34" w:rsidRDefault="00D935A1" w:rsidP="00D935A1">
      <w:pPr>
        <w:numPr>
          <w:ilvl w:val="0"/>
          <w:numId w:val="2"/>
        </w:numPr>
        <w:tabs>
          <w:tab w:val="clear" w:pos="720"/>
          <w:tab w:val="left" w:pos="709"/>
        </w:tabs>
        <w:ind w:left="709" w:hanging="425"/>
        <w:jc w:val="both"/>
        <w:rPr>
          <w:rFonts w:ascii="Arial" w:hAnsi="Arial" w:cs="Arial"/>
          <w:sz w:val="20"/>
          <w:szCs w:val="20"/>
        </w:rPr>
      </w:pPr>
      <w:r w:rsidRPr="00A57A34">
        <w:rPr>
          <w:rFonts w:ascii="Arial" w:hAnsi="Arial" w:cs="Arial"/>
          <w:sz w:val="20"/>
          <w:szCs w:val="20"/>
        </w:rPr>
        <w:t>Technical procedures and supporting analysis templates (including that of electronic data capture/systems) have been amended as appropriate to ensure that sufficient detail is captured during the test activities to:</w:t>
      </w:r>
    </w:p>
    <w:p w:rsidR="00D935A1" w:rsidRPr="00A57A34" w:rsidRDefault="00D935A1" w:rsidP="00D935A1">
      <w:pPr>
        <w:numPr>
          <w:ilvl w:val="1"/>
          <w:numId w:val="2"/>
        </w:numPr>
        <w:tabs>
          <w:tab w:val="left" w:pos="709"/>
        </w:tabs>
        <w:jc w:val="both"/>
        <w:rPr>
          <w:rFonts w:ascii="Arial" w:hAnsi="Arial" w:cs="Arial"/>
          <w:color w:val="000000" w:themeColor="text1"/>
          <w:sz w:val="20"/>
          <w:szCs w:val="20"/>
        </w:rPr>
      </w:pPr>
      <w:r w:rsidRPr="00A57A34">
        <w:rPr>
          <w:rFonts w:ascii="Arial" w:hAnsi="Arial" w:cs="Arial"/>
          <w:sz w:val="20"/>
          <w:szCs w:val="20"/>
        </w:rPr>
        <w:t xml:space="preserve">Justify the determination of a material being identified as a </w:t>
      </w:r>
      <w:proofErr w:type="gramStart"/>
      <w:r w:rsidRPr="00A57A34">
        <w:rPr>
          <w:rFonts w:ascii="Arial" w:hAnsi="Arial" w:cs="Arial"/>
          <w:sz w:val="20"/>
          <w:szCs w:val="20"/>
        </w:rPr>
        <w:t>Non-asbestos</w:t>
      </w:r>
      <w:proofErr w:type="gramEnd"/>
      <w:r w:rsidRPr="00A57A34">
        <w:rPr>
          <w:rFonts w:ascii="Arial" w:hAnsi="Arial" w:cs="Arial"/>
          <w:sz w:val="20"/>
          <w:szCs w:val="20"/>
        </w:rPr>
        <w:t xml:space="preserve"> </w:t>
      </w:r>
      <w:r w:rsidRPr="00A57A34">
        <w:rPr>
          <w:rFonts w:ascii="Arial" w:hAnsi="Arial" w:cs="Arial"/>
          <w:color w:val="000000" w:themeColor="text1"/>
          <w:sz w:val="20"/>
          <w:szCs w:val="20"/>
        </w:rPr>
        <w:t xml:space="preserve">construction </w:t>
      </w:r>
      <w:r w:rsidR="002C1494" w:rsidRPr="00A57A34">
        <w:rPr>
          <w:rFonts w:ascii="Arial" w:hAnsi="Arial" w:cs="Arial"/>
          <w:color w:val="000000" w:themeColor="text1"/>
          <w:sz w:val="20"/>
          <w:szCs w:val="20"/>
        </w:rPr>
        <w:t xml:space="preserve">sample </w:t>
      </w:r>
      <w:r w:rsidRPr="00A57A34">
        <w:rPr>
          <w:rFonts w:ascii="Arial" w:hAnsi="Arial" w:cs="Arial"/>
          <w:color w:val="000000" w:themeColor="text1"/>
          <w:sz w:val="20"/>
          <w:szCs w:val="20"/>
        </w:rPr>
        <w:t xml:space="preserve">material </w:t>
      </w:r>
      <w:r w:rsidR="001A6E81" w:rsidRPr="00A57A34">
        <w:rPr>
          <w:rFonts w:ascii="Arial" w:hAnsi="Arial" w:cs="Arial"/>
          <w:color w:val="000000" w:themeColor="text1"/>
          <w:sz w:val="20"/>
          <w:szCs w:val="20"/>
        </w:rPr>
        <w:t>where applicable</w:t>
      </w:r>
    </w:p>
    <w:p w:rsidR="00D935A1" w:rsidRPr="00A57A34" w:rsidRDefault="00D935A1" w:rsidP="00D935A1">
      <w:pPr>
        <w:numPr>
          <w:ilvl w:val="1"/>
          <w:numId w:val="2"/>
        </w:numPr>
        <w:tabs>
          <w:tab w:val="left" w:pos="709"/>
        </w:tabs>
        <w:jc w:val="both"/>
        <w:rPr>
          <w:rFonts w:ascii="Arial" w:hAnsi="Arial" w:cs="Arial"/>
          <w:color w:val="000000" w:themeColor="text1"/>
          <w:sz w:val="20"/>
          <w:szCs w:val="20"/>
        </w:rPr>
      </w:pPr>
      <w:r w:rsidRPr="00A57A34">
        <w:rPr>
          <w:rFonts w:ascii="Arial" w:hAnsi="Arial" w:cs="Arial"/>
          <w:color w:val="000000" w:themeColor="text1"/>
          <w:sz w:val="20"/>
          <w:szCs w:val="20"/>
        </w:rPr>
        <w:t>Provide traceability in the system to identify when the approach has been applied</w:t>
      </w:r>
    </w:p>
    <w:p w:rsidR="00D935A1" w:rsidRPr="006311ED" w:rsidRDefault="002F52CC" w:rsidP="00D935A1">
      <w:pPr>
        <w:numPr>
          <w:ilvl w:val="1"/>
          <w:numId w:val="2"/>
        </w:numPr>
        <w:tabs>
          <w:tab w:val="left" w:pos="709"/>
        </w:tabs>
        <w:jc w:val="both"/>
        <w:rPr>
          <w:rFonts w:ascii="Arial" w:hAnsi="Arial" w:cs="Arial"/>
          <w:sz w:val="20"/>
          <w:szCs w:val="20"/>
        </w:rPr>
      </w:pPr>
      <w:r w:rsidRPr="00A57A34">
        <w:rPr>
          <w:rFonts w:ascii="Arial" w:hAnsi="Arial" w:cs="Arial"/>
          <w:color w:val="000000" w:themeColor="text1"/>
          <w:sz w:val="20"/>
          <w:szCs w:val="20"/>
        </w:rPr>
        <w:t>Document the r</w:t>
      </w:r>
      <w:r w:rsidR="00D935A1" w:rsidRPr="00A57A34">
        <w:rPr>
          <w:rFonts w:ascii="Arial" w:hAnsi="Arial" w:cs="Arial"/>
          <w:color w:val="000000" w:themeColor="text1"/>
          <w:sz w:val="20"/>
          <w:szCs w:val="20"/>
        </w:rPr>
        <w:t>evised scoring as per updated Table A2.10</w:t>
      </w:r>
      <w:r w:rsidR="0014742F">
        <w:rPr>
          <w:rFonts w:ascii="Arial" w:hAnsi="Arial" w:cs="Arial"/>
          <w:color w:val="000000" w:themeColor="text1"/>
          <w:sz w:val="20"/>
          <w:szCs w:val="20"/>
        </w:rPr>
        <w:t xml:space="preserve"> in the revised approach.</w:t>
      </w:r>
    </w:p>
    <w:p w:rsidR="00025E38" w:rsidRPr="00A57A34" w:rsidRDefault="00025E38" w:rsidP="00D935A1">
      <w:pPr>
        <w:tabs>
          <w:tab w:val="left" w:pos="360"/>
        </w:tabs>
        <w:jc w:val="both"/>
        <w:rPr>
          <w:rFonts w:ascii="Arial" w:hAnsi="Arial" w:cs="Arial"/>
          <w:b/>
          <w:sz w:val="20"/>
          <w:szCs w:val="20"/>
        </w:rPr>
      </w:pPr>
    </w:p>
    <w:p w:rsidR="00D935A1" w:rsidRPr="00A57A34" w:rsidRDefault="00D935A1" w:rsidP="00D935A1">
      <w:pPr>
        <w:tabs>
          <w:tab w:val="left" w:pos="360"/>
        </w:tabs>
        <w:jc w:val="both"/>
        <w:rPr>
          <w:rFonts w:ascii="Arial" w:hAnsi="Arial" w:cs="Arial"/>
          <w:b/>
          <w:sz w:val="20"/>
          <w:szCs w:val="20"/>
        </w:rPr>
      </w:pPr>
      <w:r w:rsidRPr="00A57A34">
        <w:rPr>
          <w:rFonts w:ascii="Arial" w:hAnsi="Arial" w:cs="Arial"/>
          <w:b/>
          <w:sz w:val="20"/>
          <w:szCs w:val="20"/>
        </w:rPr>
        <w:t>ISO/IEC 17025 Sec 7.5 Technical Records</w:t>
      </w:r>
    </w:p>
    <w:p w:rsidR="00D935A1" w:rsidRPr="00A57A34" w:rsidRDefault="00D935A1" w:rsidP="00D935A1">
      <w:pPr>
        <w:numPr>
          <w:ilvl w:val="0"/>
          <w:numId w:val="4"/>
        </w:numPr>
        <w:tabs>
          <w:tab w:val="clear" w:pos="1120"/>
          <w:tab w:val="left" w:pos="360"/>
          <w:tab w:val="num" w:pos="760"/>
        </w:tabs>
        <w:ind w:left="709" w:hanging="425"/>
        <w:jc w:val="both"/>
        <w:rPr>
          <w:rFonts w:ascii="Arial" w:hAnsi="Arial" w:cs="Arial"/>
          <w:sz w:val="20"/>
          <w:szCs w:val="20"/>
        </w:rPr>
      </w:pPr>
      <w:r w:rsidRPr="00A57A34">
        <w:rPr>
          <w:rFonts w:ascii="Arial" w:hAnsi="Arial" w:cs="Arial"/>
          <w:sz w:val="20"/>
          <w:szCs w:val="20"/>
        </w:rPr>
        <w:t>Procedures regarding technical records have been revised as required, including:</w:t>
      </w:r>
    </w:p>
    <w:p w:rsidR="00D935A1" w:rsidRPr="00A57A34" w:rsidRDefault="00D935A1" w:rsidP="00D935A1">
      <w:pPr>
        <w:numPr>
          <w:ilvl w:val="1"/>
          <w:numId w:val="4"/>
        </w:numPr>
        <w:tabs>
          <w:tab w:val="left" w:pos="360"/>
        </w:tabs>
        <w:jc w:val="both"/>
        <w:rPr>
          <w:rFonts w:ascii="Arial" w:hAnsi="Arial" w:cs="Arial"/>
          <w:sz w:val="20"/>
          <w:szCs w:val="20"/>
        </w:rPr>
      </w:pPr>
      <w:r w:rsidRPr="00A57A34">
        <w:rPr>
          <w:rFonts w:ascii="Arial" w:hAnsi="Arial" w:cs="Arial"/>
          <w:sz w:val="20"/>
          <w:szCs w:val="20"/>
        </w:rPr>
        <w:t xml:space="preserve">The need to ensure that any changes to the original material type made at the point of analysis is appropriately </w:t>
      </w:r>
      <w:proofErr w:type="gramStart"/>
      <w:r w:rsidRPr="00A57A34">
        <w:rPr>
          <w:rFonts w:ascii="Arial" w:hAnsi="Arial" w:cs="Arial"/>
          <w:sz w:val="20"/>
          <w:szCs w:val="20"/>
        </w:rPr>
        <w:t>recorded</w:t>
      </w:r>
      <w:r w:rsidR="00025E38" w:rsidRPr="00A57A34">
        <w:rPr>
          <w:rFonts w:ascii="Arial" w:hAnsi="Arial" w:cs="Arial"/>
          <w:sz w:val="20"/>
          <w:szCs w:val="20"/>
        </w:rPr>
        <w:t>;</w:t>
      </w:r>
      <w:proofErr w:type="gramEnd"/>
    </w:p>
    <w:p w:rsidR="00D935A1" w:rsidRPr="00A57A34" w:rsidRDefault="00D935A1" w:rsidP="00D935A1">
      <w:pPr>
        <w:numPr>
          <w:ilvl w:val="1"/>
          <w:numId w:val="4"/>
        </w:numPr>
        <w:tabs>
          <w:tab w:val="left" w:pos="360"/>
        </w:tabs>
        <w:jc w:val="both"/>
        <w:rPr>
          <w:rFonts w:ascii="Arial" w:hAnsi="Arial" w:cs="Arial"/>
          <w:sz w:val="20"/>
          <w:szCs w:val="20"/>
        </w:rPr>
      </w:pPr>
      <w:r w:rsidRPr="00A57A34">
        <w:rPr>
          <w:rFonts w:ascii="Arial" w:hAnsi="Arial" w:cs="Arial"/>
          <w:sz w:val="20"/>
          <w:szCs w:val="20"/>
        </w:rPr>
        <w:t xml:space="preserve">Records contain suitable justification of the approach being applied </w:t>
      </w:r>
    </w:p>
    <w:p w:rsidR="006D4B22" w:rsidRPr="00A57A34" w:rsidRDefault="006D4B22" w:rsidP="006D4B22">
      <w:pPr>
        <w:tabs>
          <w:tab w:val="left" w:pos="360"/>
        </w:tabs>
        <w:jc w:val="both"/>
        <w:rPr>
          <w:rFonts w:ascii="Arial" w:hAnsi="Arial" w:cs="Arial"/>
          <w:i/>
          <w:iCs/>
          <w:sz w:val="20"/>
          <w:szCs w:val="20"/>
        </w:rPr>
      </w:pPr>
      <w:r w:rsidRPr="00A57A34">
        <w:rPr>
          <w:rFonts w:ascii="Arial" w:hAnsi="Arial" w:cs="Arial"/>
          <w:i/>
          <w:iCs/>
          <w:sz w:val="20"/>
          <w:szCs w:val="20"/>
        </w:rPr>
        <w:t xml:space="preserve">NB the use of </w:t>
      </w:r>
      <w:proofErr w:type="spellStart"/>
      <w:proofErr w:type="gramStart"/>
      <w:r w:rsidRPr="00A57A34">
        <w:rPr>
          <w:rFonts w:ascii="Arial" w:hAnsi="Arial" w:cs="Arial"/>
          <w:i/>
          <w:iCs/>
          <w:sz w:val="20"/>
          <w:szCs w:val="20"/>
        </w:rPr>
        <w:t>a</w:t>
      </w:r>
      <w:proofErr w:type="spellEnd"/>
      <w:proofErr w:type="gramEnd"/>
      <w:r w:rsidRPr="00A57A34">
        <w:rPr>
          <w:rFonts w:ascii="Arial" w:hAnsi="Arial" w:cs="Arial"/>
          <w:i/>
          <w:iCs/>
          <w:sz w:val="20"/>
          <w:szCs w:val="20"/>
        </w:rPr>
        <w:t xml:space="preserve"> </w:t>
      </w:r>
      <w:r w:rsidR="007A20C2" w:rsidRPr="00A57A34">
        <w:rPr>
          <w:rFonts w:ascii="Arial" w:hAnsi="Arial" w:cs="Arial"/>
          <w:i/>
          <w:iCs/>
          <w:sz w:val="20"/>
          <w:szCs w:val="20"/>
        </w:rPr>
        <w:t xml:space="preserve">alternative </w:t>
      </w:r>
      <w:r w:rsidRPr="00A57A34">
        <w:rPr>
          <w:rFonts w:ascii="Arial" w:hAnsi="Arial" w:cs="Arial"/>
          <w:i/>
          <w:iCs/>
          <w:sz w:val="20"/>
          <w:szCs w:val="20"/>
        </w:rPr>
        <w:t xml:space="preserve">approach should not be considered </w:t>
      </w:r>
      <w:r w:rsidR="008C1EBC" w:rsidRPr="00A57A34">
        <w:rPr>
          <w:rFonts w:ascii="Arial" w:hAnsi="Arial" w:cs="Arial"/>
          <w:i/>
          <w:iCs/>
          <w:sz w:val="20"/>
          <w:szCs w:val="20"/>
        </w:rPr>
        <w:t>by</w:t>
      </w:r>
      <w:r w:rsidR="00CB0844">
        <w:rPr>
          <w:rFonts w:ascii="Arial" w:hAnsi="Arial" w:cs="Arial"/>
          <w:i/>
          <w:iCs/>
          <w:sz w:val="20"/>
          <w:szCs w:val="20"/>
        </w:rPr>
        <w:t xml:space="preserve"> </w:t>
      </w:r>
      <w:r w:rsidR="00CB0844" w:rsidRPr="00CB0844">
        <w:rPr>
          <w:rFonts w:ascii="Arial" w:hAnsi="Arial" w:cs="Arial"/>
          <w:i/>
          <w:iCs/>
          <w:sz w:val="20"/>
          <w:szCs w:val="20"/>
        </w:rPr>
        <w:t xml:space="preserve">the </w:t>
      </w:r>
      <w:r w:rsidR="00CB0844" w:rsidRPr="006311ED">
        <w:rPr>
          <w:rFonts w:ascii="Arial" w:hAnsi="Arial" w:cs="Arial"/>
          <w:i/>
          <w:iCs/>
          <w:sz w:val="20"/>
          <w:szCs w:val="20"/>
        </w:rPr>
        <w:t>Laboratory</w:t>
      </w:r>
      <w:r w:rsidR="008C1EBC" w:rsidRPr="00CB0844">
        <w:rPr>
          <w:rFonts w:ascii="Arial" w:hAnsi="Arial" w:cs="Arial"/>
          <w:i/>
          <w:iCs/>
          <w:sz w:val="20"/>
          <w:szCs w:val="20"/>
        </w:rPr>
        <w:t xml:space="preserve"> as an opportunity to seek to raise the daily </w:t>
      </w:r>
      <w:r w:rsidR="0016546F" w:rsidRPr="00CB0844">
        <w:rPr>
          <w:rFonts w:ascii="Arial" w:hAnsi="Arial" w:cs="Arial"/>
          <w:i/>
          <w:iCs/>
          <w:sz w:val="20"/>
          <w:szCs w:val="20"/>
        </w:rPr>
        <w:t>samples numbers outside of those defined in HSG248 Ed2</w:t>
      </w:r>
      <w:r w:rsidR="001870DE" w:rsidRPr="00CB0844">
        <w:rPr>
          <w:rFonts w:ascii="Arial" w:hAnsi="Arial" w:cs="Arial"/>
          <w:i/>
          <w:iCs/>
          <w:sz w:val="20"/>
          <w:szCs w:val="20"/>
        </w:rPr>
        <w:t xml:space="preserve"> i</w:t>
      </w:r>
      <w:r w:rsidR="001870DE" w:rsidRPr="00A57A34">
        <w:rPr>
          <w:rFonts w:ascii="Arial" w:hAnsi="Arial" w:cs="Arial"/>
          <w:i/>
          <w:iCs/>
          <w:sz w:val="20"/>
          <w:szCs w:val="20"/>
        </w:rPr>
        <w:t>.e. not greater than 60 samples</w:t>
      </w:r>
      <w:r w:rsidR="005E3A3C" w:rsidRPr="00A57A34">
        <w:rPr>
          <w:rFonts w:ascii="Arial" w:hAnsi="Arial" w:cs="Arial"/>
          <w:i/>
          <w:iCs/>
          <w:sz w:val="20"/>
          <w:szCs w:val="20"/>
        </w:rPr>
        <w:t>/70 points</w:t>
      </w:r>
    </w:p>
    <w:p w:rsidR="00D935A1" w:rsidRPr="00A57A34" w:rsidRDefault="00D935A1" w:rsidP="006D274C">
      <w:pPr>
        <w:jc w:val="both"/>
        <w:rPr>
          <w:rFonts w:ascii="Arial" w:hAnsi="Arial" w:cs="Arial"/>
          <w:sz w:val="20"/>
          <w:szCs w:val="20"/>
        </w:rPr>
      </w:pPr>
    </w:p>
    <w:p w:rsidR="00D935A1" w:rsidRPr="00A57A34" w:rsidRDefault="00D935A1" w:rsidP="00D935A1">
      <w:pPr>
        <w:tabs>
          <w:tab w:val="left" w:pos="360"/>
        </w:tabs>
        <w:jc w:val="both"/>
        <w:rPr>
          <w:rFonts w:ascii="Arial" w:hAnsi="Arial" w:cs="Arial"/>
          <w:sz w:val="20"/>
          <w:szCs w:val="20"/>
        </w:rPr>
      </w:pPr>
      <w:r w:rsidRPr="00A57A34">
        <w:rPr>
          <w:rFonts w:ascii="Arial" w:hAnsi="Arial" w:cs="Arial"/>
          <w:b/>
          <w:sz w:val="20"/>
          <w:szCs w:val="20"/>
        </w:rPr>
        <w:t>ISO/IEC 17025 Sec 7.7 Ensuring the validity of Results</w:t>
      </w:r>
      <w:r w:rsidRPr="00A57A34">
        <w:rPr>
          <w:rFonts w:ascii="Arial" w:hAnsi="Arial" w:cs="Arial"/>
          <w:sz w:val="20"/>
          <w:szCs w:val="20"/>
        </w:rPr>
        <w:t xml:space="preserve"> </w:t>
      </w:r>
    </w:p>
    <w:p w:rsidR="00D935A1" w:rsidRPr="00A57A34" w:rsidRDefault="00D935A1" w:rsidP="00D935A1">
      <w:pPr>
        <w:numPr>
          <w:ilvl w:val="0"/>
          <w:numId w:val="4"/>
        </w:numPr>
        <w:tabs>
          <w:tab w:val="clear" w:pos="1120"/>
          <w:tab w:val="left" w:pos="360"/>
        </w:tabs>
        <w:ind w:left="709" w:hanging="425"/>
        <w:jc w:val="both"/>
        <w:rPr>
          <w:rFonts w:ascii="Arial" w:hAnsi="Arial" w:cs="Arial"/>
          <w:sz w:val="20"/>
          <w:szCs w:val="20"/>
        </w:rPr>
      </w:pPr>
      <w:r w:rsidRPr="00A57A34">
        <w:rPr>
          <w:rFonts w:ascii="Arial" w:hAnsi="Arial" w:cs="Arial"/>
          <w:sz w:val="20"/>
          <w:szCs w:val="20"/>
        </w:rPr>
        <w:t>Procedures and system have been reviewed and revised to accommodate the additional:</w:t>
      </w:r>
    </w:p>
    <w:p w:rsidR="00D935A1" w:rsidRPr="00A57A34" w:rsidRDefault="00D935A1" w:rsidP="00D935A1">
      <w:pPr>
        <w:numPr>
          <w:ilvl w:val="1"/>
          <w:numId w:val="4"/>
        </w:numPr>
        <w:tabs>
          <w:tab w:val="left" w:pos="360"/>
        </w:tabs>
        <w:jc w:val="both"/>
        <w:rPr>
          <w:rFonts w:ascii="Arial" w:hAnsi="Arial" w:cs="Arial"/>
          <w:sz w:val="20"/>
          <w:szCs w:val="20"/>
        </w:rPr>
      </w:pPr>
      <w:r w:rsidRPr="00A57A34">
        <w:rPr>
          <w:rFonts w:ascii="Arial" w:hAnsi="Arial" w:cs="Arial"/>
          <w:sz w:val="20"/>
          <w:szCs w:val="20"/>
        </w:rPr>
        <w:t>Representation of NACS material types within the QC stock</w:t>
      </w:r>
      <w:r w:rsidR="00254C76" w:rsidRPr="00A57A34">
        <w:rPr>
          <w:rFonts w:ascii="Arial" w:hAnsi="Arial" w:cs="Arial"/>
          <w:sz w:val="20"/>
          <w:szCs w:val="20"/>
        </w:rPr>
        <w:t xml:space="preserve"> typical of </w:t>
      </w:r>
      <w:r w:rsidR="00F23224" w:rsidRPr="00A57A34">
        <w:rPr>
          <w:rFonts w:ascii="Arial" w:hAnsi="Arial" w:cs="Arial"/>
          <w:sz w:val="20"/>
          <w:szCs w:val="20"/>
        </w:rPr>
        <w:t xml:space="preserve">such samples the </w:t>
      </w:r>
      <w:r w:rsidR="00CB0844">
        <w:rPr>
          <w:rFonts w:ascii="Arial" w:hAnsi="Arial" w:cs="Arial"/>
          <w:sz w:val="20"/>
          <w:szCs w:val="20"/>
        </w:rPr>
        <w:t>Laboratory</w:t>
      </w:r>
      <w:r w:rsidR="00CB0844" w:rsidRPr="00A57A34">
        <w:rPr>
          <w:rFonts w:ascii="Arial" w:hAnsi="Arial" w:cs="Arial"/>
          <w:sz w:val="20"/>
          <w:szCs w:val="20"/>
        </w:rPr>
        <w:t xml:space="preserve"> </w:t>
      </w:r>
      <w:r w:rsidR="00F23224" w:rsidRPr="00A57A34">
        <w:rPr>
          <w:rFonts w:ascii="Arial" w:hAnsi="Arial" w:cs="Arial"/>
          <w:sz w:val="20"/>
          <w:szCs w:val="20"/>
        </w:rPr>
        <w:t>receive</w:t>
      </w:r>
      <w:r w:rsidR="00410351" w:rsidRPr="00A57A34">
        <w:rPr>
          <w:rFonts w:ascii="Arial" w:hAnsi="Arial" w:cs="Arial"/>
          <w:sz w:val="20"/>
          <w:szCs w:val="20"/>
        </w:rPr>
        <w:t>s</w:t>
      </w:r>
      <w:r w:rsidR="00F57A2D" w:rsidRPr="00A57A34">
        <w:rPr>
          <w:rFonts w:ascii="Arial" w:hAnsi="Arial" w:cs="Arial"/>
          <w:sz w:val="20"/>
          <w:szCs w:val="20"/>
        </w:rPr>
        <w:t xml:space="preserve"> (outside</w:t>
      </w:r>
      <w:r w:rsidR="00410351" w:rsidRPr="00A57A34">
        <w:rPr>
          <w:rFonts w:ascii="Arial" w:hAnsi="Arial" w:cs="Arial"/>
          <w:sz w:val="20"/>
          <w:szCs w:val="20"/>
        </w:rPr>
        <w:t xml:space="preserve"> that defined in table </w:t>
      </w:r>
      <w:r w:rsidR="00E91607" w:rsidRPr="00A57A34">
        <w:rPr>
          <w:rFonts w:ascii="Arial" w:hAnsi="Arial" w:cs="Arial"/>
          <w:sz w:val="20"/>
          <w:szCs w:val="20"/>
        </w:rPr>
        <w:t>A2.10 Cat A</w:t>
      </w:r>
      <w:r w:rsidR="00563A44">
        <w:rPr>
          <w:rFonts w:ascii="Arial" w:hAnsi="Arial" w:cs="Arial"/>
          <w:sz w:val="20"/>
          <w:szCs w:val="20"/>
        </w:rPr>
        <w:t xml:space="preserve"> as required</w:t>
      </w:r>
      <w:r w:rsidR="00E91607" w:rsidRPr="00A57A34">
        <w:rPr>
          <w:rFonts w:ascii="Arial" w:hAnsi="Arial" w:cs="Arial"/>
          <w:sz w:val="20"/>
          <w:szCs w:val="20"/>
        </w:rPr>
        <w:t>)</w:t>
      </w:r>
      <w:r w:rsidR="00F57A2D" w:rsidRPr="00A57A34">
        <w:rPr>
          <w:rFonts w:ascii="Arial" w:hAnsi="Arial" w:cs="Arial"/>
          <w:sz w:val="20"/>
          <w:szCs w:val="20"/>
        </w:rPr>
        <w:t xml:space="preserve"> </w:t>
      </w:r>
    </w:p>
    <w:p w:rsidR="00D935A1" w:rsidRPr="00A57A34" w:rsidRDefault="00D935A1" w:rsidP="00D935A1">
      <w:pPr>
        <w:numPr>
          <w:ilvl w:val="1"/>
          <w:numId w:val="4"/>
        </w:numPr>
        <w:tabs>
          <w:tab w:val="left" w:pos="360"/>
        </w:tabs>
        <w:jc w:val="both"/>
        <w:rPr>
          <w:rFonts w:ascii="Arial" w:hAnsi="Arial" w:cs="Arial"/>
          <w:sz w:val="20"/>
          <w:szCs w:val="20"/>
        </w:rPr>
      </w:pPr>
      <w:r w:rsidRPr="00A57A34">
        <w:rPr>
          <w:rFonts w:ascii="Arial" w:hAnsi="Arial" w:cs="Arial"/>
          <w:sz w:val="20"/>
          <w:szCs w:val="20"/>
        </w:rPr>
        <w:t xml:space="preserve">Establish appropriate internal QA checks to ratify the approach being applied in a suitable and consistent manner </w:t>
      </w:r>
    </w:p>
    <w:p w:rsidR="33A55589" w:rsidRPr="00A57A34" w:rsidRDefault="33A55589" w:rsidP="317DC6EC">
      <w:pPr>
        <w:numPr>
          <w:ilvl w:val="1"/>
          <w:numId w:val="4"/>
        </w:numPr>
        <w:tabs>
          <w:tab w:val="left" w:pos="360"/>
        </w:tabs>
        <w:jc w:val="both"/>
        <w:rPr>
          <w:rFonts w:ascii="Arial" w:hAnsi="Arial" w:cs="Arial"/>
          <w:sz w:val="20"/>
          <w:szCs w:val="20"/>
        </w:rPr>
      </w:pPr>
      <w:r w:rsidRPr="00A57A34">
        <w:rPr>
          <w:rFonts w:ascii="Arial" w:hAnsi="Arial" w:cs="Arial"/>
          <w:sz w:val="20"/>
          <w:szCs w:val="20"/>
        </w:rPr>
        <w:t>Evaluation and staff performance</w:t>
      </w:r>
    </w:p>
    <w:p w:rsidR="004E1AFA" w:rsidRPr="00A57A34" w:rsidRDefault="004E1AFA" w:rsidP="004E1AFA">
      <w:pPr>
        <w:jc w:val="both"/>
        <w:rPr>
          <w:rFonts w:ascii="Arial" w:hAnsi="Arial" w:cs="Arial"/>
          <w:i/>
          <w:iCs/>
          <w:sz w:val="20"/>
          <w:szCs w:val="20"/>
        </w:rPr>
      </w:pPr>
    </w:p>
    <w:p w:rsidR="00D935A1" w:rsidRPr="00A57A34" w:rsidRDefault="55D86B4B" w:rsidP="00D935A1">
      <w:pPr>
        <w:tabs>
          <w:tab w:val="left" w:pos="360"/>
        </w:tabs>
        <w:jc w:val="both"/>
        <w:rPr>
          <w:rFonts w:ascii="Arial" w:hAnsi="Arial" w:cs="Arial"/>
          <w:sz w:val="20"/>
          <w:szCs w:val="20"/>
        </w:rPr>
      </w:pPr>
      <w:r w:rsidRPr="00A57A34">
        <w:rPr>
          <w:rFonts w:ascii="Arial" w:hAnsi="Arial" w:cs="Arial"/>
          <w:b/>
          <w:bCs/>
          <w:sz w:val="20"/>
          <w:szCs w:val="20"/>
        </w:rPr>
        <w:t>ISO/IEC 17025 Sec 8.2</w:t>
      </w:r>
      <w:r w:rsidRPr="00A57A34">
        <w:rPr>
          <w:rFonts w:ascii="Arial" w:hAnsi="Arial" w:cs="Arial"/>
          <w:sz w:val="20"/>
          <w:szCs w:val="20"/>
        </w:rPr>
        <w:t xml:space="preserve"> </w:t>
      </w:r>
      <w:r w:rsidR="00536429" w:rsidRPr="00A57A34">
        <w:rPr>
          <w:rFonts w:ascii="Arial" w:hAnsi="Arial" w:cs="Arial"/>
          <w:b/>
          <w:bCs/>
          <w:sz w:val="20"/>
          <w:szCs w:val="20"/>
        </w:rPr>
        <w:t>Management system</w:t>
      </w:r>
      <w:r w:rsidR="006872A2" w:rsidRPr="00A57A34">
        <w:rPr>
          <w:rFonts w:ascii="Arial" w:hAnsi="Arial" w:cs="Arial"/>
          <w:b/>
          <w:bCs/>
          <w:sz w:val="20"/>
          <w:szCs w:val="20"/>
        </w:rPr>
        <w:t xml:space="preserve"> documentation</w:t>
      </w:r>
      <w:r w:rsidR="00600D0D" w:rsidRPr="00A57A34">
        <w:rPr>
          <w:rFonts w:ascii="Arial" w:hAnsi="Arial" w:cs="Arial"/>
          <w:sz w:val="20"/>
          <w:szCs w:val="20"/>
        </w:rPr>
        <w:t>;</w:t>
      </w:r>
      <w:r w:rsidR="006872A2" w:rsidRPr="00A57A34">
        <w:rPr>
          <w:rFonts w:ascii="Arial" w:hAnsi="Arial" w:cs="Arial"/>
          <w:sz w:val="20"/>
          <w:szCs w:val="20"/>
        </w:rPr>
        <w:t xml:space="preserve"> including as applicable </w:t>
      </w:r>
      <w:r w:rsidRPr="00A57A34">
        <w:rPr>
          <w:rFonts w:ascii="Arial" w:hAnsi="Arial" w:cs="Arial"/>
          <w:sz w:val="20"/>
          <w:szCs w:val="20"/>
        </w:rPr>
        <w:t xml:space="preserve">Quality and Technical manuals, controlled documents, test data capture systems, </w:t>
      </w:r>
      <w:r w:rsidR="0041570B" w:rsidRPr="00A57A34">
        <w:rPr>
          <w:rFonts w:ascii="Arial" w:hAnsi="Arial" w:cs="Arial"/>
          <w:sz w:val="20"/>
          <w:szCs w:val="20"/>
        </w:rPr>
        <w:t xml:space="preserve">risk and </w:t>
      </w:r>
      <w:r w:rsidR="00055B4C" w:rsidRPr="00A57A34">
        <w:rPr>
          <w:rFonts w:ascii="Arial" w:hAnsi="Arial" w:cs="Arial"/>
          <w:sz w:val="20"/>
          <w:szCs w:val="20"/>
        </w:rPr>
        <w:t>opportunities.</w:t>
      </w:r>
      <w:r w:rsidR="0041570B" w:rsidRPr="00A57A34">
        <w:rPr>
          <w:rFonts w:ascii="Arial" w:hAnsi="Arial" w:cs="Arial"/>
          <w:b/>
          <w:bCs/>
          <w:sz w:val="20"/>
          <w:szCs w:val="20"/>
        </w:rPr>
        <w:t xml:space="preserve"> </w:t>
      </w:r>
    </w:p>
    <w:p w:rsidR="000062F0" w:rsidRDefault="55D86B4B" w:rsidP="00D935A1">
      <w:pPr>
        <w:numPr>
          <w:ilvl w:val="0"/>
          <w:numId w:val="1"/>
        </w:numPr>
        <w:tabs>
          <w:tab w:val="clear" w:pos="720"/>
          <w:tab w:val="left" w:pos="709"/>
        </w:tabs>
        <w:ind w:left="709" w:hanging="425"/>
        <w:jc w:val="both"/>
        <w:rPr>
          <w:rFonts w:ascii="Arial" w:hAnsi="Arial" w:cs="Arial"/>
          <w:sz w:val="20"/>
          <w:szCs w:val="20"/>
        </w:rPr>
      </w:pPr>
      <w:r w:rsidRPr="00A57A34">
        <w:rPr>
          <w:rFonts w:ascii="Arial" w:hAnsi="Arial" w:cs="Arial"/>
          <w:sz w:val="20"/>
          <w:szCs w:val="20"/>
        </w:rPr>
        <w:t xml:space="preserve">All documents/procedures </w:t>
      </w:r>
      <w:r w:rsidR="005047AC" w:rsidRPr="00A57A34">
        <w:rPr>
          <w:rFonts w:ascii="Arial" w:hAnsi="Arial" w:cs="Arial"/>
          <w:sz w:val="20"/>
          <w:szCs w:val="20"/>
        </w:rPr>
        <w:t xml:space="preserve">which support the management system and are affected by the implementation of this alternative approach shall be reviewed </w:t>
      </w:r>
      <w:r w:rsidRPr="00A57A34">
        <w:rPr>
          <w:rFonts w:ascii="Arial" w:hAnsi="Arial" w:cs="Arial"/>
          <w:sz w:val="20"/>
          <w:szCs w:val="20"/>
        </w:rPr>
        <w:t xml:space="preserve">and </w:t>
      </w:r>
      <w:r w:rsidR="00BC31D9" w:rsidRPr="00A57A34">
        <w:rPr>
          <w:rFonts w:ascii="Arial" w:hAnsi="Arial" w:cs="Arial"/>
          <w:sz w:val="20"/>
          <w:szCs w:val="20"/>
        </w:rPr>
        <w:t xml:space="preserve">where </w:t>
      </w:r>
      <w:r w:rsidRPr="00A57A34">
        <w:rPr>
          <w:rFonts w:ascii="Arial" w:hAnsi="Arial" w:cs="Arial"/>
          <w:sz w:val="20"/>
          <w:szCs w:val="20"/>
        </w:rPr>
        <w:t xml:space="preserve">necessary changes </w:t>
      </w:r>
    </w:p>
    <w:p w:rsidR="000062F0" w:rsidRDefault="000062F0" w:rsidP="006311ED">
      <w:pPr>
        <w:ind w:left="709"/>
        <w:jc w:val="both"/>
        <w:rPr>
          <w:rFonts w:ascii="Arial" w:hAnsi="Arial" w:cs="Arial"/>
          <w:sz w:val="20"/>
          <w:szCs w:val="20"/>
        </w:rPr>
      </w:pPr>
    </w:p>
    <w:p w:rsidR="00EA4E3A" w:rsidRDefault="000062F0" w:rsidP="006311ED">
      <w:pPr>
        <w:ind w:left="284"/>
        <w:jc w:val="both"/>
        <w:rPr>
          <w:rFonts w:ascii="Arial" w:hAnsi="Arial" w:cs="Arial"/>
          <w:sz w:val="20"/>
          <w:szCs w:val="20"/>
        </w:rPr>
      </w:pPr>
      <w:r w:rsidRPr="00A57A34">
        <w:rPr>
          <w:rFonts w:ascii="Arial" w:hAnsi="Arial" w:cs="Arial"/>
          <w:b/>
          <w:bCs/>
          <w:sz w:val="20"/>
          <w:szCs w:val="20"/>
        </w:rPr>
        <w:t>ISO</w:t>
      </w:r>
      <w:r w:rsidRPr="00482AB3">
        <w:rPr>
          <w:rFonts w:ascii="Arial" w:hAnsi="Arial" w:cs="Arial"/>
          <w:b/>
          <w:bCs/>
          <w:sz w:val="20"/>
          <w:szCs w:val="20"/>
        </w:rPr>
        <w:t>/IEC 17025 Sec 8.</w:t>
      </w:r>
      <w:r w:rsidR="000254EA">
        <w:rPr>
          <w:rFonts w:ascii="Arial" w:hAnsi="Arial" w:cs="Arial"/>
          <w:b/>
          <w:bCs/>
          <w:sz w:val="20"/>
          <w:szCs w:val="20"/>
        </w:rPr>
        <w:t>8</w:t>
      </w:r>
      <w:r w:rsidRPr="006311ED">
        <w:rPr>
          <w:rFonts w:ascii="Arial" w:hAnsi="Arial" w:cs="Arial"/>
          <w:b/>
          <w:bCs/>
          <w:sz w:val="20"/>
          <w:szCs w:val="20"/>
        </w:rPr>
        <w:t xml:space="preserve"> Internal </w:t>
      </w:r>
      <w:proofErr w:type="gramStart"/>
      <w:r w:rsidRPr="006311ED">
        <w:rPr>
          <w:rFonts w:ascii="Arial" w:hAnsi="Arial" w:cs="Arial"/>
          <w:b/>
          <w:bCs/>
          <w:sz w:val="20"/>
          <w:szCs w:val="20"/>
        </w:rPr>
        <w:t>Audi</w:t>
      </w:r>
      <w:r w:rsidR="00482AB3" w:rsidRPr="006311ED">
        <w:rPr>
          <w:rFonts w:ascii="Arial" w:hAnsi="Arial" w:cs="Arial"/>
          <w:b/>
          <w:bCs/>
          <w:sz w:val="20"/>
          <w:szCs w:val="20"/>
        </w:rPr>
        <w:t>t</w:t>
      </w:r>
      <w:r w:rsidRPr="006311ED">
        <w:rPr>
          <w:rFonts w:ascii="Arial" w:hAnsi="Arial" w:cs="Arial"/>
          <w:b/>
          <w:bCs/>
          <w:sz w:val="20"/>
          <w:szCs w:val="20"/>
        </w:rPr>
        <w:t>;</w:t>
      </w:r>
      <w:proofErr w:type="gramEnd"/>
      <w:r w:rsidR="55D86B4B" w:rsidRPr="00482AB3">
        <w:rPr>
          <w:rFonts w:ascii="Arial" w:hAnsi="Arial" w:cs="Arial"/>
          <w:sz w:val="20"/>
          <w:szCs w:val="20"/>
        </w:rPr>
        <w:t xml:space="preserve"> </w:t>
      </w:r>
    </w:p>
    <w:p w:rsidR="00D935A1" w:rsidRPr="00A57A34" w:rsidRDefault="00302A11" w:rsidP="00D935A1">
      <w:pPr>
        <w:numPr>
          <w:ilvl w:val="0"/>
          <w:numId w:val="1"/>
        </w:numPr>
        <w:tabs>
          <w:tab w:val="clear" w:pos="720"/>
          <w:tab w:val="left" w:pos="709"/>
        </w:tabs>
        <w:ind w:left="709" w:hanging="425"/>
        <w:jc w:val="both"/>
        <w:rPr>
          <w:rFonts w:ascii="Arial" w:hAnsi="Arial" w:cs="Arial"/>
          <w:sz w:val="20"/>
          <w:szCs w:val="20"/>
        </w:rPr>
      </w:pPr>
      <w:r>
        <w:rPr>
          <w:rFonts w:ascii="Arial" w:hAnsi="Arial" w:cs="Arial"/>
          <w:sz w:val="20"/>
          <w:szCs w:val="20"/>
        </w:rPr>
        <w:t>E</w:t>
      </w:r>
      <w:r w:rsidR="00274EEB">
        <w:rPr>
          <w:rFonts w:ascii="Arial" w:hAnsi="Arial" w:cs="Arial"/>
          <w:sz w:val="20"/>
          <w:szCs w:val="20"/>
        </w:rPr>
        <w:t xml:space="preserve">vidence that there is </w:t>
      </w:r>
      <w:r>
        <w:rPr>
          <w:rFonts w:ascii="Arial" w:hAnsi="Arial" w:cs="Arial"/>
          <w:sz w:val="20"/>
          <w:szCs w:val="20"/>
        </w:rPr>
        <w:t xml:space="preserve">ongoing </w:t>
      </w:r>
      <w:r w:rsidR="00274EEB">
        <w:rPr>
          <w:rFonts w:ascii="Arial" w:hAnsi="Arial" w:cs="Arial"/>
          <w:sz w:val="20"/>
          <w:szCs w:val="20"/>
        </w:rPr>
        <w:t xml:space="preserve">assessment </w:t>
      </w:r>
      <w:r w:rsidR="000673B9">
        <w:rPr>
          <w:rFonts w:ascii="Arial" w:hAnsi="Arial" w:cs="Arial"/>
          <w:sz w:val="20"/>
          <w:szCs w:val="20"/>
        </w:rPr>
        <w:t xml:space="preserve">by the Laboratory </w:t>
      </w:r>
      <w:r w:rsidR="00AB790B">
        <w:rPr>
          <w:rFonts w:ascii="Arial" w:hAnsi="Arial" w:cs="Arial"/>
          <w:sz w:val="20"/>
          <w:szCs w:val="20"/>
        </w:rPr>
        <w:t xml:space="preserve">as part of </w:t>
      </w:r>
      <w:r w:rsidR="001651CC">
        <w:rPr>
          <w:rFonts w:ascii="Arial" w:hAnsi="Arial" w:cs="Arial"/>
          <w:sz w:val="20"/>
          <w:szCs w:val="20"/>
        </w:rPr>
        <w:t>relevant</w:t>
      </w:r>
      <w:r w:rsidR="00AB790B">
        <w:rPr>
          <w:rFonts w:ascii="Arial" w:hAnsi="Arial" w:cs="Arial"/>
          <w:sz w:val="20"/>
          <w:szCs w:val="20"/>
        </w:rPr>
        <w:t xml:space="preserve"> internal audits </w:t>
      </w:r>
      <w:r w:rsidR="00F047D4">
        <w:rPr>
          <w:rFonts w:ascii="Arial" w:hAnsi="Arial" w:cs="Arial"/>
          <w:sz w:val="20"/>
          <w:szCs w:val="20"/>
        </w:rPr>
        <w:t xml:space="preserve">to provide confidence </w:t>
      </w:r>
      <w:r w:rsidR="55D86B4B" w:rsidRPr="00A57A34">
        <w:rPr>
          <w:rFonts w:ascii="Arial" w:hAnsi="Arial" w:cs="Arial"/>
          <w:sz w:val="20"/>
          <w:szCs w:val="20"/>
        </w:rPr>
        <w:t>th</w:t>
      </w:r>
      <w:r w:rsidR="00021FF6">
        <w:rPr>
          <w:rFonts w:ascii="Arial" w:hAnsi="Arial" w:cs="Arial"/>
          <w:sz w:val="20"/>
          <w:szCs w:val="20"/>
        </w:rPr>
        <w:t xml:space="preserve">at all aspects are </w:t>
      </w:r>
      <w:r w:rsidR="00052B56">
        <w:rPr>
          <w:rFonts w:ascii="Arial" w:hAnsi="Arial" w:cs="Arial"/>
          <w:sz w:val="20"/>
          <w:szCs w:val="20"/>
        </w:rPr>
        <w:t xml:space="preserve">audited to confirm they are </w:t>
      </w:r>
      <w:r w:rsidR="00021FF6">
        <w:rPr>
          <w:rFonts w:ascii="Arial" w:hAnsi="Arial" w:cs="Arial"/>
          <w:sz w:val="20"/>
          <w:szCs w:val="20"/>
        </w:rPr>
        <w:t xml:space="preserve">being </w:t>
      </w:r>
      <w:r w:rsidR="00AB790B">
        <w:rPr>
          <w:rFonts w:ascii="Arial" w:hAnsi="Arial" w:cs="Arial"/>
          <w:sz w:val="20"/>
          <w:szCs w:val="20"/>
        </w:rPr>
        <w:t>effec</w:t>
      </w:r>
      <w:r w:rsidR="00F047D4">
        <w:rPr>
          <w:rFonts w:ascii="Arial" w:hAnsi="Arial" w:cs="Arial"/>
          <w:sz w:val="20"/>
          <w:szCs w:val="20"/>
        </w:rPr>
        <w:t xml:space="preserve">tively </w:t>
      </w:r>
      <w:r w:rsidR="00AB790B">
        <w:rPr>
          <w:rFonts w:ascii="Arial" w:hAnsi="Arial" w:cs="Arial"/>
          <w:sz w:val="20"/>
          <w:szCs w:val="20"/>
        </w:rPr>
        <w:t xml:space="preserve">managed and </w:t>
      </w:r>
      <w:r w:rsidR="001651CC">
        <w:rPr>
          <w:rFonts w:ascii="Arial" w:hAnsi="Arial" w:cs="Arial"/>
          <w:sz w:val="20"/>
          <w:szCs w:val="20"/>
        </w:rPr>
        <w:t>remain compliant</w:t>
      </w:r>
      <w:r w:rsidR="005B4E53">
        <w:rPr>
          <w:rFonts w:ascii="Arial" w:hAnsi="Arial" w:cs="Arial"/>
          <w:sz w:val="20"/>
          <w:szCs w:val="20"/>
        </w:rPr>
        <w:t>,</w:t>
      </w:r>
      <w:r w:rsidR="00F047D4">
        <w:rPr>
          <w:rFonts w:ascii="Arial" w:hAnsi="Arial" w:cs="Arial"/>
          <w:sz w:val="20"/>
          <w:szCs w:val="20"/>
        </w:rPr>
        <w:t xml:space="preserve"> with any failings being suitably</w:t>
      </w:r>
      <w:r w:rsidR="00F15558">
        <w:rPr>
          <w:rFonts w:ascii="Arial" w:hAnsi="Arial" w:cs="Arial"/>
          <w:sz w:val="20"/>
          <w:szCs w:val="20"/>
        </w:rPr>
        <w:t xml:space="preserve"> raised.</w:t>
      </w:r>
      <w:r w:rsidR="001651CC">
        <w:rPr>
          <w:rFonts w:ascii="Arial" w:hAnsi="Arial" w:cs="Arial"/>
          <w:sz w:val="20"/>
          <w:szCs w:val="20"/>
        </w:rPr>
        <w:t xml:space="preserve"> </w:t>
      </w:r>
    </w:p>
    <w:p w:rsidR="00D935A1" w:rsidRPr="006311ED" w:rsidRDefault="00D935A1">
      <w:pPr>
        <w:rPr>
          <w:rFonts w:ascii="Arial" w:hAnsi="Arial" w:cs="Arial"/>
          <w:sz w:val="20"/>
          <w:szCs w:val="20"/>
        </w:rPr>
      </w:pPr>
    </w:p>
    <w:p w:rsidR="00C80278" w:rsidRPr="006311ED" w:rsidRDefault="00C80278" w:rsidP="317DC6EC">
      <w:pPr>
        <w:rPr>
          <w:rFonts w:ascii="Arial" w:hAnsi="Arial" w:cs="Arial"/>
          <w:sz w:val="20"/>
          <w:szCs w:val="20"/>
        </w:rPr>
      </w:pPr>
    </w:p>
    <w:p w:rsidR="317DC6EC" w:rsidRPr="00A57A34" w:rsidRDefault="00177222" w:rsidP="317DC6EC">
      <w:pPr>
        <w:rPr>
          <w:rFonts w:ascii="Arial" w:hAnsi="Arial" w:cs="Arial"/>
          <w:b/>
          <w:bCs/>
          <w:sz w:val="20"/>
          <w:szCs w:val="20"/>
        </w:rPr>
      </w:pPr>
      <w:r w:rsidRPr="00A57A34">
        <w:rPr>
          <w:rFonts w:ascii="Arial" w:hAnsi="Arial" w:cs="Arial"/>
          <w:b/>
          <w:bCs/>
          <w:sz w:val="20"/>
          <w:szCs w:val="20"/>
        </w:rPr>
        <w:t xml:space="preserve">There will also be a requirement </w:t>
      </w:r>
      <w:r w:rsidRPr="00A41877">
        <w:rPr>
          <w:rFonts w:ascii="Arial" w:hAnsi="Arial" w:cs="Arial"/>
          <w:b/>
          <w:bCs/>
          <w:sz w:val="20"/>
          <w:szCs w:val="20"/>
        </w:rPr>
        <w:t xml:space="preserve">for </w:t>
      </w:r>
      <w:r w:rsidR="00A41877" w:rsidRPr="00A41877">
        <w:rPr>
          <w:rFonts w:ascii="Arial" w:hAnsi="Arial" w:cs="Arial"/>
          <w:b/>
          <w:bCs/>
          <w:sz w:val="20"/>
          <w:szCs w:val="20"/>
        </w:rPr>
        <w:t>t</w:t>
      </w:r>
      <w:r w:rsidR="00A41877" w:rsidRPr="006311ED">
        <w:rPr>
          <w:rFonts w:ascii="Arial" w:hAnsi="Arial" w:cs="Arial"/>
          <w:b/>
          <w:bCs/>
          <w:sz w:val="20"/>
          <w:szCs w:val="20"/>
        </w:rPr>
        <w:t xml:space="preserve">he Laboratory </w:t>
      </w:r>
      <w:r w:rsidRPr="00A41877">
        <w:rPr>
          <w:rFonts w:ascii="Arial" w:hAnsi="Arial" w:cs="Arial"/>
          <w:b/>
          <w:bCs/>
          <w:sz w:val="20"/>
          <w:szCs w:val="20"/>
        </w:rPr>
        <w:t>to confirm</w:t>
      </w:r>
      <w:r w:rsidR="00B71260" w:rsidRPr="00A57A34">
        <w:rPr>
          <w:rFonts w:ascii="Arial" w:hAnsi="Arial" w:cs="Arial"/>
          <w:b/>
          <w:bCs/>
          <w:sz w:val="20"/>
          <w:szCs w:val="20"/>
        </w:rPr>
        <w:t xml:space="preserve"> that they acknowledge </w:t>
      </w:r>
      <w:r w:rsidR="00AD3A8B" w:rsidRPr="00A57A34">
        <w:rPr>
          <w:rFonts w:ascii="Arial" w:hAnsi="Arial" w:cs="Arial"/>
          <w:b/>
          <w:bCs/>
          <w:sz w:val="20"/>
          <w:szCs w:val="20"/>
        </w:rPr>
        <w:t>the following aspects</w:t>
      </w:r>
      <w:r w:rsidRPr="00A57A34">
        <w:rPr>
          <w:rFonts w:ascii="Arial" w:hAnsi="Arial" w:cs="Arial"/>
          <w:b/>
          <w:bCs/>
          <w:sz w:val="20"/>
          <w:szCs w:val="20"/>
        </w:rPr>
        <w:t>, through the signing of the declaration</w:t>
      </w:r>
      <w:r w:rsidR="00AD3A8B" w:rsidRPr="00A57A34">
        <w:rPr>
          <w:rFonts w:ascii="Arial" w:hAnsi="Arial" w:cs="Arial"/>
          <w:b/>
          <w:bCs/>
          <w:sz w:val="20"/>
          <w:szCs w:val="20"/>
        </w:rPr>
        <w:t>:</w:t>
      </w:r>
    </w:p>
    <w:p w:rsidR="007444F2" w:rsidRPr="006311ED" w:rsidRDefault="007444F2" w:rsidP="317DC6EC">
      <w:pPr>
        <w:rPr>
          <w:rFonts w:ascii="Arial" w:hAnsi="Arial" w:cs="Arial"/>
          <w:sz w:val="20"/>
          <w:szCs w:val="20"/>
        </w:rPr>
      </w:pPr>
    </w:p>
    <w:p w:rsidR="008244A9" w:rsidRPr="006311ED" w:rsidRDefault="008244A9" w:rsidP="006311ED">
      <w:pPr>
        <w:pStyle w:val="ListParagraph"/>
        <w:numPr>
          <w:ilvl w:val="0"/>
          <w:numId w:val="5"/>
        </w:numPr>
        <w:jc w:val="both"/>
        <w:rPr>
          <w:rFonts w:ascii="Arial" w:hAnsi="Arial" w:cs="Arial"/>
          <w:sz w:val="20"/>
          <w:szCs w:val="20"/>
        </w:rPr>
      </w:pPr>
      <w:r w:rsidRPr="006311ED">
        <w:rPr>
          <w:rFonts w:ascii="Arial" w:hAnsi="Arial" w:cs="Arial"/>
          <w:sz w:val="20"/>
          <w:szCs w:val="20"/>
        </w:rPr>
        <w:t xml:space="preserve">The reference to ‘Never less than’ </w:t>
      </w:r>
      <w:r w:rsidRPr="00A57A34">
        <w:rPr>
          <w:rFonts w:ascii="Arial" w:hAnsi="Arial" w:cs="Arial"/>
          <w:sz w:val="20"/>
          <w:szCs w:val="20"/>
        </w:rPr>
        <w:t xml:space="preserve">within </w:t>
      </w:r>
      <w:r w:rsidRPr="006311ED">
        <w:rPr>
          <w:rFonts w:ascii="Arial" w:hAnsi="Arial" w:cs="Arial"/>
          <w:sz w:val="20"/>
          <w:szCs w:val="20"/>
        </w:rPr>
        <w:t>microscope examinations refer to that of the investigation of the samples under the stereo microscope</w:t>
      </w:r>
      <w:r w:rsidR="00AD3A8B" w:rsidRPr="00A57A34">
        <w:rPr>
          <w:rFonts w:ascii="Arial" w:hAnsi="Arial" w:cs="Arial"/>
          <w:sz w:val="20"/>
          <w:szCs w:val="20"/>
        </w:rPr>
        <w:t xml:space="preserve"> and the </w:t>
      </w:r>
      <w:r w:rsidR="00825FBF" w:rsidRPr="00A57A34">
        <w:rPr>
          <w:rFonts w:ascii="Arial" w:hAnsi="Arial" w:cs="Arial"/>
          <w:sz w:val="20"/>
          <w:szCs w:val="20"/>
        </w:rPr>
        <w:t>assessment under PLM is in addition</w:t>
      </w:r>
      <w:r w:rsidR="007817BD">
        <w:rPr>
          <w:rFonts w:ascii="Arial" w:hAnsi="Arial" w:cs="Arial"/>
          <w:sz w:val="20"/>
          <w:szCs w:val="20"/>
        </w:rPr>
        <w:t xml:space="preserve"> </w:t>
      </w:r>
      <w:r w:rsidR="00FE7483">
        <w:rPr>
          <w:rFonts w:ascii="Arial" w:hAnsi="Arial" w:cs="Arial"/>
          <w:sz w:val="20"/>
          <w:szCs w:val="20"/>
        </w:rPr>
        <w:t xml:space="preserve">to that </w:t>
      </w:r>
      <w:proofErr w:type="gramStart"/>
      <w:r w:rsidR="00FE7483">
        <w:rPr>
          <w:rFonts w:ascii="Arial" w:hAnsi="Arial" w:cs="Arial"/>
          <w:sz w:val="20"/>
          <w:szCs w:val="20"/>
        </w:rPr>
        <w:t>stated</w:t>
      </w:r>
      <w:r w:rsidR="009F131D">
        <w:rPr>
          <w:rFonts w:ascii="Arial" w:hAnsi="Arial" w:cs="Arial"/>
          <w:sz w:val="20"/>
          <w:szCs w:val="20"/>
        </w:rPr>
        <w:t>;</w:t>
      </w:r>
      <w:proofErr w:type="gramEnd"/>
    </w:p>
    <w:p w:rsidR="007444F2" w:rsidRPr="00A57A34" w:rsidRDefault="009F131D" w:rsidP="006311ED">
      <w:pPr>
        <w:pStyle w:val="ListParagraph"/>
        <w:numPr>
          <w:ilvl w:val="0"/>
          <w:numId w:val="5"/>
        </w:numPr>
        <w:jc w:val="both"/>
        <w:rPr>
          <w:rFonts w:ascii="Arial" w:hAnsi="Arial" w:cs="Arial"/>
          <w:sz w:val="20"/>
          <w:szCs w:val="20"/>
        </w:rPr>
      </w:pPr>
      <w:r>
        <w:rPr>
          <w:rFonts w:ascii="Arial" w:hAnsi="Arial" w:cs="Arial"/>
          <w:sz w:val="20"/>
          <w:szCs w:val="20"/>
        </w:rPr>
        <w:t>The Laboratory</w:t>
      </w:r>
      <w:r w:rsidRPr="00A57A34">
        <w:rPr>
          <w:rFonts w:ascii="Arial" w:hAnsi="Arial" w:cs="Arial"/>
          <w:sz w:val="20"/>
          <w:szCs w:val="20"/>
        </w:rPr>
        <w:t xml:space="preserve"> </w:t>
      </w:r>
      <w:proofErr w:type="gramStart"/>
      <w:r w:rsidR="008D76F1" w:rsidRPr="00A57A34">
        <w:rPr>
          <w:rFonts w:ascii="Arial" w:hAnsi="Arial" w:cs="Arial"/>
          <w:sz w:val="20"/>
          <w:szCs w:val="20"/>
        </w:rPr>
        <w:t xml:space="preserve">not </w:t>
      </w:r>
      <w:r w:rsidR="00F4074B" w:rsidRPr="00A57A34">
        <w:rPr>
          <w:rFonts w:ascii="Arial" w:hAnsi="Arial" w:cs="Arial"/>
          <w:sz w:val="20"/>
          <w:szCs w:val="20"/>
        </w:rPr>
        <w:t>use</w:t>
      </w:r>
      <w:proofErr w:type="gramEnd"/>
      <w:r w:rsidR="00F4074B" w:rsidRPr="00A57A34">
        <w:rPr>
          <w:rFonts w:ascii="Arial" w:hAnsi="Arial" w:cs="Arial"/>
          <w:sz w:val="20"/>
          <w:szCs w:val="20"/>
        </w:rPr>
        <w:t xml:space="preserve"> the </w:t>
      </w:r>
      <w:r w:rsidR="006022C1" w:rsidRPr="00A57A34">
        <w:rPr>
          <w:rFonts w:ascii="Arial" w:hAnsi="Arial" w:cs="Arial"/>
          <w:sz w:val="20"/>
          <w:szCs w:val="20"/>
        </w:rPr>
        <w:t>implementation</w:t>
      </w:r>
      <w:r w:rsidR="00F4074B" w:rsidRPr="00A57A34">
        <w:rPr>
          <w:rFonts w:ascii="Arial" w:hAnsi="Arial" w:cs="Arial"/>
          <w:sz w:val="20"/>
          <w:szCs w:val="20"/>
        </w:rPr>
        <w:t xml:space="preserve"> </w:t>
      </w:r>
      <w:r w:rsidR="00D72D9F" w:rsidRPr="00A57A34">
        <w:rPr>
          <w:rFonts w:ascii="Arial" w:hAnsi="Arial" w:cs="Arial"/>
          <w:sz w:val="20"/>
          <w:szCs w:val="20"/>
        </w:rPr>
        <w:t xml:space="preserve">of </w:t>
      </w:r>
      <w:r w:rsidR="00143191" w:rsidRPr="00A57A34">
        <w:rPr>
          <w:rFonts w:ascii="Arial" w:hAnsi="Arial" w:cs="Arial"/>
          <w:sz w:val="20"/>
          <w:szCs w:val="20"/>
        </w:rPr>
        <w:t xml:space="preserve">the alternative </w:t>
      </w:r>
      <w:r w:rsidR="00965DBF" w:rsidRPr="00A57A34">
        <w:rPr>
          <w:rFonts w:ascii="Arial" w:hAnsi="Arial" w:cs="Arial"/>
          <w:sz w:val="20"/>
          <w:szCs w:val="20"/>
        </w:rPr>
        <w:t>approach</w:t>
      </w:r>
      <w:r w:rsidR="00143191" w:rsidRPr="00A57A34">
        <w:rPr>
          <w:rFonts w:ascii="Arial" w:hAnsi="Arial" w:cs="Arial"/>
          <w:sz w:val="20"/>
          <w:szCs w:val="20"/>
        </w:rPr>
        <w:t xml:space="preserve"> as a mechanism to </w:t>
      </w:r>
      <w:r w:rsidR="007A318D" w:rsidRPr="00A57A34">
        <w:rPr>
          <w:rFonts w:ascii="Arial" w:hAnsi="Arial" w:cs="Arial"/>
          <w:sz w:val="20"/>
          <w:szCs w:val="20"/>
        </w:rPr>
        <w:t xml:space="preserve">market themselves </w:t>
      </w:r>
      <w:r w:rsidR="00261172" w:rsidRPr="00A57A34">
        <w:rPr>
          <w:rFonts w:ascii="Arial" w:hAnsi="Arial" w:cs="Arial"/>
          <w:sz w:val="20"/>
          <w:szCs w:val="20"/>
        </w:rPr>
        <w:t xml:space="preserve">or </w:t>
      </w:r>
      <w:r w:rsidR="00426EE0" w:rsidRPr="00A57A34">
        <w:rPr>
          <w:rFonts w:ascii="Arial" w:hAnsi="Arial" w:cs="Arial"/>
          <w:sz w:val="20"/>
          <w:szCs w:val="20"/>
        </w:rPr>
        <w:t xml:space="preserve">claim </w:t>
      </w:r>
      <w:r w:rsidR="00261172" w:rsidRPr="00A57A34">
        <w:rPr>
          <w:rFonts w:ascii="Arial" w:hAnsi="Arial" w:cs="Arial"/>
          <w:sz w:val="20"/>
          <w:szCs w:val="20"/>
        </w:rPr>
        <w:t xml:space="preserve">capabilities </w:t>
      </w:r>
      <w:r w:rsidR="00426EE0" w:rsidRPr="00A57A34">
        <w:rPr>
          <w:rFonts w:ascii="Arial" w:hAnsi="Arial" w:cs="Arial"/>
          <w:sz w:val="20"/>
          <w:szCs w:val="20"/>
        </w:rPr>
        <w:t>o</w:t>
      </w:r>
      <w:r w:rsidR="00E217AF" w:rsidRPr="00A57A34">
        <w:rPr>
          <w:rFonts w:ascii="Arial" w:hAnsi="Arial" w:cs="Arial"/>
          <w:sz w:val="20"/>
          <w:szCs w:val="20"/>
        </w:rPr>
        <w:t>ver and above of their existing approach</w:t>
      </w:r>
      <w:r w:rsidR="006022C1" w:rsidRPr="00A57A34">
        <w:rPr>
          <w:rFonts w:ascii="Arial" w:hAnsi="Arial" w:cs="Arial"/>
          <w:sz w:val="20"/>
          <w:szCs w:val="20"/>
        </w:rPr>
        <w:t xml:space="preserve"> as an </w:t>
      </w:r>
      <w:r w:rsidR="0040524D" w:rsidRPr="00A57A34">
        <w:rPr>
          <w:rFonts w:ascii="Arial" w:hAnsi="Arial" w:cs="Arial"/>
          <w:sz w:val="20"/>
          <w:szCs w:val="20"/>
        </w:rPr>
        <w:t>accredited</w:t>
      </w:r>
      <w:r w:rsidR="006022C1" w:rsidRPr="00A57A34">
        <w:rPr>
          <w:rFonts w:ascii="Arial" w:hAnsi="Arial" w:cs="Arial"/>
          <w:sz w:val="20"/>
          <w:szCs w:val="20"/>
        </w:rPr>
        <w:t xml:space="preserve"> lab</w:t>
      </w:r>
      <w:r w:rsidR="0040524D" w:rsidRPr="00A57A34">
        <w:rPr>
          <w:rFonts w:ascii="Arial" w:hAnsi="Arial" w:cs="Arial"/>
          <w:sz w:val="20"/>
          <w:szCs w:val="20"/>
        </w:rPr>
        <w:t>oratory</w:t>
      </w:r>
      <w:r w:rsidR="00E217AF" w:rsidRPr="00A57A34">
        <w:rPr>
          <w:rFonts w:ascii="Arial" w:hAnsi="Arial" w:cs="Arial"/>
          <w:sz w:val="20"/>
          <w:szCs w:val="20"/>
        </w:rPr>
        <w:t xml:space="preserve">, including </w:t>
      </w:r>
      <w:r w:rsidR="007A318D" w:rsidRPr="00A57A34">
        <w:rPr>
          <w:rFonts w:ascii="Arial" w:hAnsi="Arial" w:cs="Arial"/>
          <w:sz w:val="20"/>
          <w:szCs w:val="20"/>
        </w:rPr>
        <w:t xml:space="preserve">within any documentation </w:t>
      </w:r>
      <w:r w:rsidR="00795677" w:rsidRPr="00A57A34">
        <w:rPr>
          <w:rFonts w:ascii="Arial" w:hAnsi="Arial" w:cs="Arial"/>
          <w:sz w:val="20"/>
          <w:szCs w:val="20"/>
        </w:rPr>
        <w:t>(</w:t>
      </w:r>
      <w:r w:rsidR="007A318D" w:rsidRPr="00A57A34">
        <w:rPr>
          <w:rFonts w:ascii="Arial" w:hAnsi="Arial" w:cs="Arial"/>
          <w:sz w:val="20"/>
          <w:szCs w:val="20"/>
        </w:rPr>
        <w:t>including but not limited to</w:t>
      </w:r>
      <w:r w:rsidR="00795677" w:rsidRPr="00A57A34">
        <w:rPr>
          <w:rFonts w:ascii="Arial" w:hAnsi="Arial" w:cs="Arial"/>
          <w:sz w:val="20"/>
          <w:szCs w:val="20"/>
        </w:rPr>
        <w:t>)</w:t>
      </w:r>
      <w:r w:rsidR="002463CF" w:rsidRPr="00A57A34">
        <w:rPr>
          <w:rFonts w:ascii="Arial" w:hAnsi="Arial" w:cs="Arial"/>
          <w:sz w:val="20"/>
          <w:szCs w:val="20"/>
        </w:rPr>
        <w:t xml:space="preserve">, their website, quotes, </w:t>
      </w:r>
      <w:r w:rsidR="0040524D" w:rsidRPr="00A57A34">
        <w:rPr>
          <w:rFonts w:ascii="Arial" w:hAnsi="Arial" w:cs="Arial"/>
          <w:sz w:val="20"/>
          <w:szCs w:val="20"/>
        </w:rPr>
        <w:t xml:space="preserve">pricing, </w:t>
      </w:r>
      <w:r w:rsidR="00965DBF" w:rsidRPr="00A57A34">
        <w:rPr>
          <w:rFonts w:ascii="Arial" w:hAnsi="Arial" w:cs="Arial"/>
          <w:sz w:val="20"/>
          <w:szCs w:val="20"/>
        </w:rPr>
        <w:t>contract</w:t>
      </w:r>
      <w:r w:rsidR="00FD7336" w:rsidRPr="00A57A34">
        <w:rPr>
          <w:rFonts w:ascii="Arial" w:hAnsi="Arial" w:cs="Arial"/>
          <w:sz w:val="20"/>
          <w:szCs w:val="20"/>
        </w:rPr>
        <w:t xml:space="preserve"> review or in response to tenders</w:t>
      </w:r>
      <w:r w:rsidR="00055B4C" w:rsidRPr="00A57A34">
        <w:rPr>
          <w:rFonts w:ascii="Arial" w:hAnsi="Arial" w:cs="Arial"/>
          <w:sz w:val="20"/>
          <w:szCs w:val="20"/>
        </w:rPr>
        <w:t>;</w:t>
      </w:r>
    </w:p>
    <w:p w:rsidR="00FD7336" w:rsidRPr="00A57A34" w:rsidRDefault="009F131D" w:rsidP="006311ED">
      <w:pPr>
        <w:pStyle w:val="ListParagraph"/>
        <w:numPr>
          <w:ilvl w:val="0"/>
          <w:numId w:val="5"/>
        </w:numPr>
        <w:jc w:val="both"/>
        <w:rPr>
          <w:rFonts w:ascii="Arial" w:hAnsi="Arial" w:cs="Arial"/>
          <w:sz w:val="20"/>
          <w:szCs w:val="20"/>
        </w:rPr>
      </w:pPr>
      <w:r>
        <w:rPr>
          <w:rFonts w:ascii="Arial" w:hAnsi="Arial" w:cs="Arial"/>
          <w:sz w:val="20"/>
          <w:szCs w:val="20"/>
        </w:rPr>
        <w:t>The Laboratory</w:t>
      </w:r>
      <w:r w:rsidRPr="00A57A34">
        <w:rPr>
          <w:rFonts w:ascii="Arial" w:hAnsi="Arial" w:cs="Arial"/>
          <w:sz w:val="20"/>
          <w:szCs w:val="20"/>
        </w:rPr>
        <w:t xml:space="preserve"> </w:t>
      </w:r>
      <w:r w:rsidR="00FD7336" w:rsidRPr="00A57A34">
        <w:rPr>
          <w:rFonts w:ascii="Arial" w:hAnsi="Arial" w:cs="Arial"/>
          <w:sz w:val="20"/>
          <w:szCs w:val="20"/>
        </w:rPr>
        <w:t xml:space="preserve">shall </w:t>
      </w:r>
      <w:r w:rsidR="00965DBF" w:rsidRPr="00A57A34">
        <w:rPr>
          <w:rFonts w:ascii="Arial" w:hAnsi="Arial" w:cs="Arial"/>
          <w:sz w:val="20"/>
          <w:szCs w:val="20"/>
        </w:rPr>
        <w:t>n</w:t>
      </w:r>
      <w:r w:rsidR="00FD7336" w:rsidRPr="00A57A34">
        <w:rPr>
          <w:rFonts w:ascii="Arial" w:hAnsi="Arial" w:cs="Arial"/>
          <w:sz w:val="20"/>
          <w:szCs w:val="20"/>
        </w:rPr>
        <w:t xml:space="preserve">ot and </w:t>
      </w:r>
      <w:r w:rsidR="00395EA8" w:rsidRPr="00A57A34">
        <w:rPr>
          <w:rFonts w:ascii="Arial" w:hAnsi="Arial" w:cs="Arial"/>
          <w:sz w:val="20"/>
          <w:szCs w:val="20"/>
        </w:rPr>
        <w:t xml:space="preserve">will need to ensure that the implementation of the alternative approach will not lead to any undue pressures on staff to </w:t>
      </w:r>
      <w:r w:rsidR="00ED7692" w:rsidRPr="00A57A34">
        <w:rPr>
          <w:rFonts w:ascii="Arial" w:hAnsi="Arial" w:cs="Arial"/>
          <w:sz w:val="20"/>
          <w:szCs w:val="20"/>
        </w:rPr>
        <w:t xml:space="preserve">apply the methodology in a way that would affect </w:t>
      </w:r>
      <w:proofErr w:type="gramStart"/>
      <w:r w:rsidR="00ED7692" w:rsidRPr="00A57A34">
        <w:rPr>
          <w:rFonts w:ascii="Arial" w:hAnsi="Arial" w:cs="Arial"/>
          <w:sz w:val="20"/>
          <w:szCs w:val="20"/>
        </w:rPr>
        <w:t>results</w:t>
      </w:r>
      <w:r w:rsidR="00055B4C" w:rsidRPr="00A57A34">
        <w:rPr>
          <w:rFonts w:ascii="Arial" w:hAnsi="Arial" w:cs="Arial"/>
          <w:sz w:val="20"/>
          <w:szCs w:val="20"/>
        </w:rPr>
        <w:t>;</w:t>
      </w:r>
      <w:proofErr w:type="gramEnd"/>
    </w:p>
    <w:p w:rsidR="00966ABA" w:rsidRPr="00A57A34" w:rsidRDefault="009F131D" w:rsidP="006311ED">
      <w:pPr>
        <w:pStyle w:val="ListParagraph"/>
        <w:numPr>
          <w:ilvl w:val="0"/>
          <w:numId w:val="5"/>
        </w:numPr>
        <w:jc w:val="both"/>
        <w:rPr>
          <w:rFonts w:ascii="Arial" w:hAnsi="Arial" w:cs="Arial"/>
          <w:sz w:val="20"/>
          <w:szCs w:val="20"/>
        </w:rPr>
      </w:pPr>
      <w:r>
        <w:rPr>
          <w:rFonts w:ascii="Arial" w:hAnsi="Arial" w:cs="Arial"/>
          <w:sz w:val="20"/>
          <w:szCs w:val="20"/>
        </w:rPr>
        <w:t>The Laboratory</w:t>
      </w:r>
      <w:r w:rsidRPr="00A57A34">
        <w:rPr>
          <w:rFonts w:ascii="Arial" w:hAnsi="Arial" w:cs="Arial"/>
          <w:sz w:val="20"/>
          <w:szCs w:val="20"/>
        </w:rPr>
        <w:t xml:space="preserve"> </w:t>
      </w:r>
      <w:r w:rsidR="00966ABA" w:rsidRPr="00A57A34">
        <w:rPr>
          <w:rFonts w:ascii="Arial" w:hAnsi="Arial" w:cs="Arial"/>
          <w:sz w:val="20"/>
          <w:szCs w:val="20"/>
        </w:rPr>
        <w:t xml:space="preserve">will not make any amendments to reporting templates </w:t>
      </w:r>
      <w:r w:rsidR="00965DBF" w:rsidRPr="00A57A34">
        <w:rPr>
          <w:rFonts w:ascii="Arial" w:hAnsi="Arial" w:cs="Arial"/>
          <w:sz w:val="20"/>
          <w:szCs w:val="20"/>
        </w:rPr>
        <w:t xml:space="preserve">outside of those permitted </w:t>
      </w:r>
      <w:r w:rsidR="00072D85" w:rsidRPr="00A57A34">
        <w:rPr>
          <w:rFonts w:ascii="Arial" w:hAnsi="Arial" w:cs="Arial"/>
          <w:sz w:val="20"/>
          <w:szCs w:val="20"/>
        </w:rPr>
        <w:t>under ISO/IEC 17025:2017 or L</w:t>
      </w:r>
      <w:r w:rsidR="00453BF8" w:rsidRPr="00A57A34">
        <w:rPr>
          <w:rFonts w:ascii="Arial" w:hAnsi="Arial" w:cs="Arial"/>
          <w:sz w:val="20"/>
          <w:szCs w:val="20"/>
        </w:rPr>
        <w:t>AB</w:t>
      </w:r>
      <w:r w:rsidR="00072D85" w:rsidRPr="00A57A34">
        <w:rPr>
          <w:rFonts w:ascii="Arial" w:hAnsi="Arial" w:cs="Arial"/>
          <w:sz w:val="20"/>
          <w:szCs w:val="20"/>
        </w:rPr>
        <w:t xml:space="preserve">30 and shall not refer to the </w:t>
      </w:r>
      <w:r w:rsidR="00CB3AE0" w:rsidRPr="00A57A34">
        <w:rPr>
          <w:rFonts w:ascii="Arial" w:hAnsi="Arial" w:cs="Arial"/>
          <w:sz w:val="20"/>
          <w:szCs w:val="20"/>
        </w:rPr>
        <w:t>alternative approach</w:t>
      </w:r>
      <w:r w:rsidR="00A95D66" w:rsidRPr="00A57A34">
        <w:rPr>
          <w:rFonts w:ascii="Arial" w:hAnsi="Arial" w:cs="Arial"/>
          <w:sz w:val="20"/>
          <w:szCs w:val="20"/>
        </w:rPr>
        <w:t xml:space="preserve"> when making reference to the </w:t>
      </w:r>
      <w:r w:rsidR="00CB3AE0" w:rsidRPr="00A57A34">
        <w:rPr>
          <w:rFonts w:ascii="Arial" w:hAnsi="Arial" w:cs="Arial"/>
          <w:sz w:val="20"/>
          <w:szCs w:val="20"/>
        </w:rPr>
        <w:t>methodology</w:t>
      </w:r>
      <w:r w:rsidR="00A95D66" w:rsidRPr="00A57A34">
        <w:rPr>
          <w:rFonts w:ascii="Arial" w:hAnsi="Arial" w:cs="Arial"/>
          <w:sz w:val="20"/>
          <w:szCs w:val="20"/>
        </w:rPr>
        <w:t xml:space="preserve"> </w:t>
      </w:r>
      <w:proofErr w:type="gramStart"/>
      <w:r w:rsidR="00A95D66" w:rsidRPr="00A57A34">
        <w:rPr>
          <w:rFonts w:ascii="Arial" w:hAnsi="Arial" w:cs="Arial"/>
          <w:sz w:val="20"/>
          <w:szCs w:val="20"/>
        </w:rPr>
        <w:t>used</w:t>
      </w:r>
      <w:r w:rsidR="00055B4C" w:rsidRPr="00A57A34">
        <w:rPr>
          <w:rFonts w:ascii="Arial" w:hAnsi="Arial" w:cs="Arial"/>
          <w:sz w:val="20"/>
          <w:szCs w:val="20"/>
        </w:rPr>
        <w:t>;</w:t>
      </w:r>
      <w:proofErr w:type="gramEnd"/>
    </w:p>
    <w:p w:rsidR="00177222" w:rsidRPr="00A57A34" w:rsidRDefault="009F131D" w:rsidP="006311ED">
      <w:pPr>
        <w:pStyle w:val="ListParagraph"/>
        <w:numPr>
          <w:ilvl w:val="0"/>
          <w:numId w:val="5"/>
        </w:numPr>
        <w:jc w:val="both"/>
        <w:rPr>
          <w:rFonts w:ascii="Arial" w:hAnsi="Arial" w:cs="Arial"/>
          <w:sz w:val="20"/>
          <w:szCs w:val="20"/>
        </w:rPr>
      </w:pPr>
      <w:r>
        <w:rPr>
          <w:rFonts w:ascii="Arial" w:hAnsi="Arial" w:cs="Arial"/>
          <w:sz w:val="20"/>
          <w:szCs w:val="20"/>
        </w:rPr>
        <w:t>The Laboratory</w:t>
      </w:r>
      <w:r w:rsidRPr="00A57A34">
        <w:rPr>
          <w:rFonts w:ascii="Arial" w:hAnsi="Arial" w:cs="Arial"/>
          <w:sz w:val="20"/>
          <w:szCs w:val="20"/>
        </w:rPr>
        <w:t xml:space="preserve"> </w:t>
      </w:r>
      <w:r w:rsidR="00781661" w:rsidRPr="00A57A34">
        <w:rPr>
          <w:rFonts w:ascii="Arial" w:hAnsi="Arial" w:cs="Arial"/>
          <w:sz w:val="20"/>
          <w:szCs w:val="20"/>
        </w:rPr>
        <w:t xml:space="preserve">shall not view the implementation of the alternative approach as a </w:t>
      </w:r>
      <w:r w:rsidR="0079124D" w:rsidRPr="00A57A34">
        <w:rPr>
          <w:rFonts w:ascii="Arial" w:hAnsi="Arial" w:cs="Arial"/>
          <w:sz w:val="20"/>
          <w:szCs w:val="20"/>
        </w:rPr>
        <w:t>way of increasing permitted daily sample</w:t>
      </w:r>
      <w:r w:rsidR="003F10AA" w:rsidRPr="00A57A34">
        <w:rPr>
          <w:rFonts w:ascii="Arial" w:hAnsi="Arial" w:cs="Arial"/>
          <w:sz w:val="20"/>
          <w:szCs w:val="20"/>
        </w:rPr>
        <w:t xml:space="preserve"> </w:t>
      </w:r>
      <w:r w:rsidR="0079124D" w:rsidRPr="00A57A34">
        <w:rPr>
          <w:rFonts w:ascii="Arial" w:hAnsi="Arial" w:cs="Arial"/>
          <w:sz w:val="20"/>
          <w:szCs w:val="20"/>
        </w:rPr>
        <w:t>throughput</w:t>
      </w:r>
      <w:r w:rsidR="00D71A4C" w:rsidRPr="00A57A34">
        <w:rPr>
          <w:rFonts w:ascii="Arial" w:hAnsi="Arial" w:cs="Arial"/>
          <w:sz w:val="20"/>
          <w:szCs w:val="20"/>
        </w:rPr>
        <w:t xml:space="preserve"> outside that permitted in HSG</w:t>
      </w:r>
      <w:r w:rsidR="0091736A" w:rsidRPr="00A57A34">
        <w:rPr>
          <w:rFonts w:ascii="Arial" w:hAnsi="Arial" w:cs="Arial"/>
          <w:sz w:val="20"/>
          <w:szCs w:val="20"/>
        </w:rPr>
        <w:t xml:space="preserve"> </w:t>
      </w:r>
      <w:r w:rsidR="00D71A4C" w:rsidRPr="00A57A34">
        <w:rPr>
          <w:rFonts w:ascii="Arial" w:hAnsi="Arial" w:cs="Arial"/>
          <w:sz w:val="20"/>
          <w:szCs w:val="20"/>
        </w:rPr>
        <w:t>248</w:t>
      </w:r>
      <w:r w:rsidR="00D72D9F" w:rsidRPr="00A57A34">
        <w:rPr>
          <w:rFonts w:ascii="Arial" w:hAnsi="Arial" w:cs="Arial"/>
          <w:sz w:val="20"/>
          <w:szCs w:val="20"/>
        </w:rPr>
        <w:t>.</w:t>
      </w:r>
      <w:r w:rsidR="0079124D" w:rsidRPr="00A57A34">
        <w:rPr>
          <w:rFonts w:ascii="Arial" w:hAnsi="Arial" w:cs="Arial"/>
          <w:sz w:val="20"/>
          <w:szCs w:val="20"/>
        </w:rPr>
        <w:t xml:space="preserve">  </w:t>
      </w:r>
    </w:p>
    <w:p w:rsidR="00CD6351" w:rsidRPr="006311ED" w:rsidRDefault="00CD6351" w:rsidP="006311ED">
      <w:pPr>
        <w:pStyle w:val="ListParagraph"/>
        <w:jc w:val="both"/>
        <w:rPr>
          <w:rFonts w:ascii="Arial" w:hAnsi="Arial" w:cs="Arial"/>
          <w:sz w:val="20"/>
          <w:szCs w:val="20"/>
        </w:rPr>
      </w:pPr>
    </w:p>
    <w:sectPr w:rsidR="00CD6351" w:rsidRPr="006311ED" w:rsidSect="004541E9">
      <w:footerReference w:type="default" r:id="rId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4B7" w:rsidRDefault="00E744B7" w:rsidP="007336ED">
      <w:r>
        <w:separator/>
      </w:r>
    </w:p>
  </w:endnote>
  <w:endnote w:type="continuationSeparator" w:id="0">
    <w:p w:rsidR="00E744B7" w:rsidRDefault="00E744B7" w:rsidP="0073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516D" w:rsidRDefault="007D6E91" w:rsidP="0000735B">
    <w:pPr>
      <w:pStyle w:val="Footer"/>
      <w:rPr>
        <w:rFonts w:ascii="Arial" w:hAnsi="Arial" w:cs="Arial"/>
        <w:color w:val="808080" w:themeColor="background1" w:themeShade="80"/>
        <w:sz w:val="20"/>
        <w:szCs w:val="20"/>
      </w:rPr>
    </w:pPr>
    <w:r w:rsidRPr="007D6E91">
      <w:rPr>
        <w:rFonts w:ascii="Arial" w:hAnsi="Arial" w:cs="Arial"/>
        <w:color w:val="808080" w:themeColor="background1" w:themeShade="80"/>
        <w:sz w:val="20"/>
        <w:szCs w:val="20"/>
      </w:rPr>
      <w:t xml:space="preserve">UKAS declaration - summary points to accompany expression of interest document </w:t>
    </w:r>
    <w:r w:rsidR="009715A5">
      <w:rPr>
        <w:rFonts w:ascii="Arial" w:hAnsi="Arial" w:cs="Arial"/>
        <w:color w:val="808080" w:themeColor="background1" w:themeShade="80"/>
        <w:sz w:val="20"/>
        <w:szCs w:val="20"/>
      </w:rPr>
      <w:t>Dec 2024</w:t>
    </w:r>
  </w:p>
  <w:p w:rsidR="0000735B" w:rsidRPr="008E23D3" w:rsidRDefault="006D5D24" w:rsidP="0000735B">
    <w:pPr>
      <w:pStyle w:val="Footer"/>
      <w:rPr>
        <w:rFonts w:ascii="Arial" w:hAnsi="Arial" w:cs="Arial"/>
        <w:color w:val="808080" w:themeColor="background1" w:themeShade="80"/>
        <w:sz w:val="20"/>
        <w:szCs w:val="20"/>
      </w:rPr>
    </w:pPr>
    <w:r>
      <w:rPr>
        <w:rFonts w:ascii="Arial" w:hAnsi="Arial" w:cs="Arial"/>
        <w:color w:val="808080" w:themeColor="background1" w:themeShade="80"/>
        <w:sz w:val="20"/>
        <w:szCs w:val="20"/>
      </w:rPr>
      <w:tab/>
    </w:r>
    <w:r w:rsidR="0028349E">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695139541"/>
        <w:docPartObj>
          <w:docPartGallery w:val="Page Numbers (Bottom of Page)"/>
          <w:docPartUnique/>
        </w:docPartObj>
      </w:sdtPr>
      <w:sdtEndPr/>
      <w:sdtContent>
        <w:sdt>
          <w:sdtPr>
            <w:rPr>
              <w:rFonts w:ascii="Arial" w:hAnsi="Arial" w:cs="Arial"/>
              <w:color w:val="808080" w:themeColor="background1" w:themeShade="80"/>
              <w:sz w:val="20"/>
              <w:szCs w:val="20"/>
            </w:rPr>
            <w:id w:val="1728636285"/>
            <w:docPartObj>
              <w:docPartGallery w:val="Page Numbers (Top of Page)"/>
              <w:docPartUnique/>
            </w:docPartObj>
          </w:sdtPr>
          <w:sdtEndPr/>
          <w:sdtContent>
            <w:r w:rsidR="0000735B" w:rsidRPr="008E23D3">
              <w:rPr>
                <w:rFonts w:ascii="Arial" w:hAnsi="Arial" w:cs="Arial"/>
                <w:color w:val="808080" w:themeColor="background1" w:themeShade="80"/>
                <w:sz w:val="20"/>
                <w:szCs w:val="20"/>
              </w:rPr>
              <w:t xml:space="preserve">Page </w:t>
            </w:r>
            <w:r w:rsidR="0000735B" w:rsidRPr="008E23D3">
              <w:rPr>
                <w:rFonts w:ascii="Arial" w:hAnsi="Arial" w:cs="Arial"/>
                <w:color w:val="808080" w:themeColor="background1" w:themeShade="80"/>
                <w:sz w:val="20"/>
                <w:szCs w:val="20"/>
              </w:rPr>
              <w:fldChar w:fldCharType="begin"/>
            </w:r>
            <w:r w:rsidR="0000735B" w:rsidRPr="008E23D3">
              <w:rPr>
                <w:rFonts w:ascii="Arial" w:hAnsi="Arial" w:cs="Arial"/>
                <w:color w:val="808080" w:themeColor="background1" w:themeShade="80"/>
                <w:sz w:val="20"/>
                <w:szCs w:val="20"/>
              </w:rPr>
              <w:instrText xml:space="preserve"> PAGE </w:instrText>
            </w:r>
            <w:r w:rsidR="0000735B" w:rsidRPr="008E23D3">
              <w:rPr>
                <w:rFonts w:ascii="Arial" w:hAnsi="Arial" w:cs="Arial"/>
                <w:color w:val="808080" w:themeColor="background1" w:themeShade="80"/>
                <w:sz w:val="20"/>
                <w:szCs w:val="20"/>
              </w:rPr>
              <w:fldChar w:fldCharType="separate"/>
            </w:r>
            <w:r w:rsidR="0000735B" w:rsidRPr="008E23D3">
              <w:rPr>
                <w:rFonts w:ascii="Arial" w:hAnsi="Arial" w:cs="Arial"/>
                <w:noProof/>
                <w:color w:val="808080" w:themeColor="background1" w:themeShade="80"/>
                <w:sz w:val="20"/>
                <w:szCs w:val="20"/>
              </w:rPr>
              <w:t>2</w:t>
            </w:r>
            <w:r w:rsidR="0000735B" w:rsidRPr="008E23D3">
              <w:rPr>
                <w:rFonts w:ascii="Arial" w:hAnsi="Arial" w:cs="Arial"/>
                <w:color w:val="808080" w:themeColor="background1" w:themeShade="80"/>
                <w:sz w:val="20"/>
                <w:szCs w:val="20"/>
              </w:rPr>
              <w:fldChar w:fldCharType="end"/>
            </w:r>
            <w:r w:rsidR="0000735B" w:rsidRPr="008E23D3">
              <w:rPr>
                <w:rFonts w:ascii="Arial" w:hAnsi="Arial" w:cs="Arial"/>
                <w:color w:val="808080" w:themeColor="background1" w:themeShade="80"/>
                <w:sz w:val="20"/>
                <w:szCs w:val="20"/>
              </w:rPr>
              <w:t xml:space="preserve"> of </w:t>
            </w:r>
            <w:r w:rsidR="0000735B" w:rsidRPr="008E23D3">
              <w:rPr>
                <w:rFonts w:ascii="Arial" w:hAnsi="Arial" w:cs="Arial"/>
                <w:color w:val="808080" w:themeColor="background1" w:themeShade="80"/>
                <w:sz w:val="20"/>
                <w:szCs w:val="20"/>
              </w:rPr>
              <w:fldChar w:fldCharType="begin"/>
            </w:r>
            <w:r w:rsidR="0000735B" w:rsidRPr="008E23D3">
              <w:rPr>
                <w:rFonts w:ascii="Arial" w:hAnsi="Arial" w:cs="Arial"/>
                <w:color w:val="808080" w:themeColor="background1" w:themeShade="80"/>
                <w:sz w:val="20"/>
                <w:szCs w:val="20"/>
              </w:rPr>
              <w:instrText xml:space="preserve"> NUMPAGES  </w:instrText>
            </w:r>
            <w:r w:rsidR="0000735B" w:rsidRPr="008E23D3">
              <w:rPr>
                <w:rFonts w:ascii="Arial" w:hAnsi="Arial" w:cs="Arial"/>
                <w:color w:val="808080" w:themeColor="background1" w:themeShade="80"/>
                <w:sz w:val="20"/>
                <w:szCs w:val="20"/>
              </w:rPr>
              <w:fldChar w:fldCharType="separate"/>
            </w:r>
            <w:r w:rsidR="0000735B" w:rsidRPr="008E23D3">
              <w:rPr>
                <w:rFonts w:ascii="Arial" w:hAnsi="Arial" w:cs="Arial"/>
                <w:noProof/>
                <w:color w:val="808080" w:themeColor="background1" w:themeShade="80"/>
                <w:sz w:val="20"/>
                <w:szCs w:val="20"/>
              </w:rPr>
              <w:t>2</w:t>
            </w:r>
            <w:r w:rsidR="0000735B" w:rsidRPr="008E23D3">
              <w:rPr>
                <w:rFonts w:ascii="Arial" w:hAnsi="Arial" w:cs="Arial"/>
                <w:color w:val="808080" w:themeColor="background1" w:themeShade="80"/>
                <w:sz w:val="20"/>
                <w:szCs w:val="20"/>
              </w:rPr>
              <w:fldChar w:fldCharType="end"/>
            </w:r>
          </w:sdtContent>
        </w:sdt>
      </w:sdtContent>
    </w:sdt>
  </w:p>
  <w:p w:rsidR="0000735B" w:rsidRPr="007336ED" w:rsidRDefault="0000735B">
    <w:pPr>
      <w:pStyle w:val="Footer"/>
      <w:rPr>
        <w:rFonts w:ascii="Arial" w:hAnsi="Arial" w:cs="Arial"/>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4B7" w:rsidRDefault="00E744B7" w:rsidP="007336ED">
      <w:r>
        <w:separator/>
      </w:r>
    </w:p>
  </w:footnote>
  <w:footnote w:type="continuationSeparator" w:id="0">
    <w:p w:rsidR="00E744B7" w:rsidRDefault="00E744B7" w:rsidP="0073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355D5"/>
    <w:multiLevelType w:val="hybridMultilevel"/>
    <w:tmpl w:val="A92698A6"/>
    <w:lvl w:ilvl="0" w:tplc="04090001">
      <w:start w:val="1"/>
      <w:numFmt w:val="bullet"/>
      <w:lvlText w:val=""/>
      <w:lvlJc w:val="left"/>
      <w:pPr>
        <w:tabs>
          <w:tab w:val="num" w:pos="720"/>
        </w:tabs>
        <w:ind w:left="720" w:hanging="360"/>
      </w:pPr>
      <w:rPr>
        <w:rFonts w:ascii="Symbol" w:hAnsi="Symbol" w:hint="default"/>
      </w:rPr>
    </w:lvl>
    <w:lvl w:ilvl="1" w:tplc="942E235E">
      <w:start w:val="1"/>
      <w:numFmt w:val="lowerRoman"/>
      <w:lvlText w:val="%2."/>
      <w:lvlJc w:val="right"/>
      <w:pPr>
        <w:tabs>
          <w:tab w:val="num" w:pos="1440"/>
        </w:tabs>
        <w:ind w:left="1440" w:hanging="360"/>
      </w:pPr>
      <w:rPr>
        <w:rFonts w:ascii="Arial" w:hAnsi="Arial" w:cs="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2004A"/>
    <w:multiLevelType w:val="hybridMultilevel"/>
    <w:tmpl w:val="CA6ABA32"/>
    <w:lvl w:ilvl="0" w:tplc="94FE78A8">
      <w:start w:val="1"/>
      <w:numFmt w:val="bullet"/>
      <w:lvlText w:val=""/>
      <w:lvlJc w:val="left"/>
      <w:pPr>
        <w:tabs>
          <w:tab w:val="num" w:pos="1120"/>
        </w:tabs>
        <w:ind w:left="11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93F7F"/>
    <w:multiLevelType w:val="hybridMultilevel"/>
    <w:tmpl w:val="E8FA622C"/>
    <w:lvl w:ilvl="0" w:tplc="94FE78A8">
      <w:start w:val="1"/>
      <w:numFmt w:val="bullet"/>
      <w:lvlText w:val=""/>
      <w:lvlJc w:val="left"/>
      <w:pPr>
        <w:tabs>
          <w:tab w:val="num" w:pos="1120"/>
        </w:tabs>
        <w:ind w:left="11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23495"/>
    <w:multiLevelType w:val="hybridMultilevel"/>
    <w:tmpl w:val="C88C1B10"/>
    <w:lvl w:ilvl="0" w:tplc="04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F77318"/>
    <w:multiLevelType w:val="hybridMultilevel"/>
    <w:tmpl w:val="75F836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4A7C4B"/>
    <w:multiLevelType w:val="hybridMultilevel"/>
    <w:tmpl w:val="CF6A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963980">
    <w:abstractNumId w:val="4"/>
  </w:num>
  <w:num w:numId="2" w16cid:durableId="1506897126">
    <w:abstractNumId w:val="0"/>
  </w:num>
  <w:num w:numId="3" w16cid:durableId="587227055">
    <w:abstractNumId w:val="3"/>
  </w:num>
  <w:num w:numId="4" w16cid:durableId="1335181962">
    <w:abstractNumId w:val="1"/>
  </w:num>
  <w:num w:numId="5" w16cid:durableId="1157264352">
    <w:abstractNumId w:val="5"/>
  </w:num>
  <w:num w:numId="6" w16cid:durableId="183436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A1"/>
    <w:rsid w:val="000062F0"/>
    <w:rsid w:val="0000735B"/>
    <w:rsid w:val="00021FF6"/>
    <w:rsid w:val="000254EA"/>
    <w:rsid w:val="00025E38"/>
    <w:rsid w:val="00034415"/>
    <w:rsid w:val="00052B56"/>
    <w:rsid w:val="00055B4C"/>
    <w:rsid w:val="00062597"/>
    <w:rsid w:val="000673B9"/>
    <w:rsid w:val="00072D85"/>
    <w:rsid w:val="00082DE0"/>
    <w:rsid w:val="000918C7"/>
    <w:rsid w:val="00095792"/>
    <w:rsid w:val="00096837"/>
    <w:rsid w:val="0009BAF4"/>
    <w:rsid w:val="000B5EA1"/>
    <w:rsid w:val="000C6681"/>
    <w:rsid w:val="000F10D6"/>
    <w:rsid w:val="000F1FF0"/>
    <w:rsid w:val="000F3C77"/>
    <w:rsid w:val="00113396"/>
    <w:rsid w:val="001142BB"/>
    <w:rsid w:val="00143191"/>
    <w:rsid w:val="0014742F"/>
    <w:rsid w:val="00152FFA"/>
    <w:rsid w:val="00160477"/>
    <w:rsid w:val="001651CC"/>
    <w:rsid w:val="0016546F"/>
    <w:rsid w:val="00177222"/>
    <w:rsid w:val="00182805"/>
    <w:rsid w:val="001870DE"/>
    <w:rsid w:val="001A2379"/>
    <w:rsid w:val="001A2913"/>
    <w:rsid w:val="001A6E81"/>
    <w:rsid w:val="001B3029"/>
    <w:rsid w:val="001C0AB8"/>
    <w:rsid w:val="001C7A85"/>
    <w:rsid w:val="001F430D"/>
    <w:rsid w:val="001F516D"/>
    <w:rsid w:val="00220B85"/>
    <w:rsid w:val="002311C7"/>
    <w:rsid w:val="002463CF"/>
    <w:rsid w:val="00254C76"/>
    <w:rsid w:val="00260E41"/>
    <w:rsid w:val="00261172"/>
    <w:rsid w:val="00266220"/>
    <w:rsid w:val="00274EEB"/>
    <w:rsid w:val="00281D54"/>
    <w:rsid w:val="0028349E"/>
    <w:rsid w:val="002928BE"/>
    <w:rsid w:val="002C1494"/>
    <w:rsid w:val="002C71B9"/>
    <w:rsid w:val="002E26F8"/>
    <w:rsid w:val="002F3498"/>
    <w:rsid w:val="002F44FE"/>
    <w:rsid w:val="002F52CC"/>
    <w:rsid w:val="00300D92"/>
    <w:rsid w:val="003023A4"/>
    <w:rsid w:val="00302A11"/>
    <w:rsid w:val="003106AB"/>
    <w:rsid w:val="00310839"/>
    <w:rsid w:val="00313554"/>
    <w:rsid w:val="00315ACA"/>
    <w:rsid w:val="00316FA8"/>
    <w:rsid w:val="00326153"/>
    <w:rsid w:val="00334398"/>
    <w:rsid w:val="00343370"/>
    <w:rsid w:val="003526B3"/>
    <w:rsid w:val="00380048"/>
    <w:rsid w:val="00395EA8"/>
    <w:rsid w:val="003A5FA0"/>
    <w:rsid w:val="003D2FAC"/>
    <w:rsid w:val="003F10AA"/>
    <w:rsid w:val="003F62BE"/>
    <w:rsid w:val="0040524D"/>
    <w:rsid w:val="00410351"/>
    <w:rsid w:val="0041570B"/>
    <w:rsid w:val="00425A35"/>
    <w:rsid w:val="00426EE0"/>
    <w:rsid w:val="0044408E"/>
    <w:rsid w:val="00453BF8"/>
    <w:rsid w:val="004541E9"/>
    <w:rsid w:val="00454F17"/>
    <w:rsid w:val="00462D0D"/>
    <w:rsid w:val="00463971"/>
    <w:rsid w:val="00482AB3"/>
    <w:rsid w:val="004A087C"/>
    <w:rsid w:val="004A33F5"/>
    <w:rsid w:val="004C4166"/>
    <w:rsid w:val="004E1AFA"/>
    <w:rsid w:val="004F48FF"/>
    <w:rsid w:val="005047AC"/>
    <w:rsid w:val="0051289C"/>
    <w:rsid w:val="005349C5"/>
    <w:rsid w:val="00536429"/>
    <w:rsid w:val="00537D60"/>
    <w:rsid w:val="005447DB"/>
    <w:rsid w:val="00550BAD"/>
    <w:rsid w:val="005546F0"/>
    <w:rsid w:val="00563A44"/>
    <w:rsid w:val="00565111"/>
    <w:rsid w:val="005727E2"/>
    <w:rsid w:val="00590E57"/>
    <w:rsid w:val="005970E3"/>
    <w:rsid w:val="005A157C"/>
    <w:rsid w:val="005B120D"/>
    <w:rsid w:val="005B380F"/>
    <w:rsid w:val="005B4E53"/>
    <w:rsid w:val="005E3A3C"/>
    <w:rsid w:val="005E61D0"/>
    <w:rsid w:val="005F28BC"/>
    <w:rsid w:val="00600D0D"/>
    <w:rsid w:val="006022C1"/>
    <w:rsid w:val="006041C4"/>
    <w:rsid w:val="00611A3B"/>
    <w:rsid w:val="00625540"/>
    <w:rsid w:val="0062659D"/>
    <w:rsid w:val="006311ED"/>
    <w:rsid w:val="00636C7C"/>
    <w:rsid w:val="00661E84"/>
    <w:rsid w:val="006872A2"/>
    <w:rsid w:val="0069642E"/>
    <w:rsid w:val="006A4802"/>
    <w:rsid w:val="006B0DAB"/>
    <w:rsid w:val="006B2264"/>
    <w:rsid w:val="006B7018"/>
    <w:rsid w:val="006B712E"/>
    <w:rsid w:val="006D274C"/>
    <w:rsid w:val="006D4B22"/>
    <w:rsid w:val="006D5D24"/>
    <w:rsid w:val="006D645A"/>
    <w:rsid w:val="006E0F30"/>
    <w:rsid w:val="006E444F"/>
    <w:rsid w:val="00705F74"/>
    <w:rsid w:val="00716B20"/>
    <w:rsid w:val="0072146A"/>
    <w:rsid w:val="007336ED"/>
    <w:rsid w:val="0073512A"/>
    <w:rsid w:val="007444F2"/>
    <w:rsid w:val="00747702"/>
    <w:rsid w:val="00747A2A"/>
    <w:rsid w:val="00760178"/>
    <w:rsid w:val="00767456"/>
    <w:rsid w:val="00781661"/>
    <w:rsid w:val="007817BD"/>
    <w:rsid w:val="007873F1"/>
    <w:rsid w:val="0079124D"/>
    <w:rsid w:val="00795677"/>
    <w:rsid w:val="007A20C2"/>
    <w:rsid w:val="007A318D"/>
    <w:rsid w:val="007B37C4"/>
    <w:rsid w:val="007D0A78"/>
    <w:rsid w:val="007D6E91"/>
    <w:rsid w:val="007E307D"/>
    <w:rsid w:val="007E47D2"/>
    <w:rsid w:val="008231AE"/>
    <w:rsid w:val="008244A9"/>
    <w:rsid w:val="00825FBF"/>
    <w:rsid w:val="008312EF"/>
    <w:rsid w:val="00850038"/>
    <w:rsid w:val="00867D5C"/>
    <w:rsid w:val="00881204"/>
    <w:rsid w:val="00894349"/>
    <w:rsid w:val="008C1EBC"/>
    <w:rsid w:val="008D76F1"/>
    <w:rsid w:val="008E1EE6"/>
    <w:rsid w:val="008E23D3"/>
    <w:rsid w:val="008E395B"/>
    <w:rsid w:val="008E4CFE"/>
    <w:rsid w:val="00900AAF"/>
    <w:rsid w:val="00916C54"/>
    <w:rsid w:val="0091736A"/>
    <w:rsid w:val="00925E70"/>
    <w:rsid w:val="00946B53"/>
    <w:rsid w:val="00965DBF"/>
    <w:rsid w:val="00966457"/>
    <w:rsid w:val="00966ABA"/>
    <w:rsid w:val="009715A5"/>
    <w:rsid w:val="00971753"/>
    <w:rsid w:val="00990A93"/>
    <w:rsid w:val="009979E2"/>
    <w:rsid w:val="009C22A8"/>
    <w:rsid w:val="009C3E26"/>
    <w:rsid w:val="009D1111"/>
    <w:rsid w:val="009E2BFA"/>
    <w:rsid w:val="009F0D21"/>
    <w:rsid w:val="009F131D"/>
    <w:rsid w:val="00A11B90"/>
    <w:rsid w:val="00A30BF8"/>
    <w:rsid w:val="00A32640"/>
    <w:rsid w:val="00A41877"/>
    <w:rsid w:val="00A57A34"/>
    <w:rsid w:val="00A60E0D"/>
    <w:rsid w:val="00A83A6F"/>
    <w:rsid w:val="00A85042"/>
    <w:rsid w:val="00A90EFD"/>
    <w:rsid w:val="00A95D66"/>
    <w:rsid w:val="00AB1C30"/>
    <w:rsid w:val="00AB790B"/>
    <w:rsid w:val="00AC1563"/>
    <w:rsid w:val="00AC6CB0"/>
    <w:rsid w:val="00AD0CAB"/>
    <w:rsid w:val="00AD1370"/>
    <w:rsid w:val="00AD3A8B"/>
    <w:rsid w:val="00AE24FD"/>
    <w:rsid w:val="00AE2704"/>
    <w:rsid w:val="00AF2DF7"/>
    <w:rsid w:val="00B07142"/>
    <w:rsid w:val="00B07B21"/>
    <w:rsid w:val="00B21834"/>
    <w:rsid w:val="00B22A89"/>
    <w:rsid w:val="00B42C8B"/>
    <w:rsid w:val="00B566E9"/>
    <w:rsid w:val="00B57FF8"/>
    <w:rsid w:val="00B71260"/>
    <w:rsid w:val="00B725CC"/>
    <w:rsid w:val="00B81E09"/>
    <w:rsid w:val="00B94048"/>
    <w:rsid w:val="00BB60C0"/>
    <w:rsid w:val="00BC31D9"/>
    <w:rsid w:val="00BD2EF5"/>
    <w:rsid w:val="00BD2FA1"/>
    <w:rsid w:val="00BE0C0C"/>
    <w:rsid w:val="00BE41BD"/>
    <w:rsid w:val="00BF178A"/>
    <w:rsid w:val="00C02510"/>
    <w:rsid w:val="00C031EE"/>
    <w:rsid w:val="00C03FC7"/>
    <w:rsid w:val="00C127A6"/>
    <w:rsid w:val="00C1437F"/>
    <w:rsid w:val="00C25B5F"/>
    <w:rsid w:val="00C27EB9"/>
    <w:rsid w:val="00C80278"/>
    <w:rsid w:val="00C824FD"/>
    <w:rsid w:val="00C82ACB"/>
    <w:rsid w:val="00C83FE4"/>
    <w:rsid w:val="00C97EC3"/>
    <w:rsid w:val="00CA723B"/>
    <w:rsid w:val="00CB0844"/>
    <w:rsid w:val="00CB25B3"/>
    <w:rsid w:val="00CB3AE0"/>
    <w:rsid w:val="00CD6351"/>
    <w:rsid w:val="00CE1072"/>
    <w:rsid w:val="00CF4842"/>
    <w:rsid w:val="00D000C1"/>
    <w:rsid w:val="00D114EB"/>
    <w:rsid w:val="00D40382"/>
    <w:rsid w:val="00D527C9"/>
    <w:rsid w:val="00D64885"/>
    <w:rsid w:val="00D71A4C"/>
    <w:rsid w:val="00D72D9F"/>
    <w:rsid w:val="00D935A1"/>
    <w:rsid w:val="00DA2BD3"/>
    <w:rsid w:val="00DA67D1"/>
    <w:rsid w:val="00DD7794"/>
    <w:rsid w:val="00DE3FD2"/>
    <w:rsid w:val="00DF3EC2"/>
    <w:rsid w:val="00DF686E"/>
    <w:rsid w:val="00E217AF"/>
    <w:rsid w:val="00E63CF7"/>
    <w:rsid w:val="00E64752"/>
    <w:rsid w:val="00E744B7"/>
    <w:rsid w:val="00E91607"/>
    <w:rsid w:val="00EA4E3A"/>
    <w:rsid w:val="00ED7692"/>
    <w:rsid w:val="00EE4282"/>
    <w:rsid w:val="00EF332A"/>
    <w:rsid w:val="00F047D4"/>
    <w:rsid w:val="00F06BD0"/>
    <w:rsid w:val="00F11F8E"/>
    <w:rsid w:val="00F15558"/>
    <w:rsid w:val="00F23224"/>
    <w:rsid w:val="00F4074B"/>
    <w:rsid w:val="00F4194E"/>
    <w:rsid w:val="00F438B8"/>
    <w:rsid w:val="00F56348"/>
    <w:rsid w:val="00F56953"/>
    <w:rsid w:val="00F57A2D"/>
    <w:rsid w:val="00F742F4"/>
    <w:rsid w:val="00F962F6"/>
    <w:rsid w:val="00F97657"/>
    <w:rsid w:val="00FA232D"/>
    <w:rsid w:val="00FA6171"/>
    <w:rsid w:val="00FA7BA2"/>
    <w:rsid w:val="00FD36EF"/>
    <w:rsid w:val="00FD7336"/>
    <w:rsid w:val="00FE7483"/>
    <w:rsid w:val="00FF31C6"/>
    <w:rsid w:val="00FF4502"/>
    <w:rsid w:val="00FF7B9B"/>
    <w:rsid w:val="095BB8D6"/>
    <w:rsid w:val="17E742B9"/>
    <w:rsid w:val="1D0639D8"/>
    <w:rsid w:val="1DD2123B"/>
    <w:rsid w:val="20025B73"/>
    <w:rsid w:val="25C6898B"/>
    <w:rsid w:val="304EE84C"/>
    <w:rsid w:val="317DC6EC"/>
    <w:rsid w:val="33A55589"/>
    <w:rsid w:val="38222DF1"/>
    <w:rsid w:val="39650CFF"/>
    <w:rsid w:val="3DE010B0"/>
    <w:rsid w:val="45383E33"/>
    <w:rsid w:val="484B1461"/>
    <w:rsid w:val="4EA7E106"/>
    <w:rsid w:val="4F5F3F70"/>
    <w:rsid w:val="52B022A5"/>
    <w:rsid w:val="52D59B72"/>
    <w:rsid w:val="53B75A49"/>
    <w:rsid w:val="55D86B4B"/>
    <w:rsid w:val="5F8D33FD"/>
    <w:rsid w:val="65A5E38D"/>
    <w:rsid w:val="6A13A3B0"/>
    <w:rsid w:val="72961416"/>
    <w:rsid w:val="730B2E35"/>
    <w:rsid w:val="74ED61D9"/>
    <w:rsid w:val="7D441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DE28"/>
  <w15:chartTrackingRefBased/>
  <w15:docId w15:val="{3A4DCEE2-F93E-453C-805E-0BDBB1A1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A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3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5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5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5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5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5A1"/>
    <w:rPr>
      <w:rFonts w:eastAsiaTheme="majorEastAsia" w:cstheme="majorBidi"/>
      <w:color w:val="272727" w:themeColor="text1" w:themeTint="D8"/>
    </w:rPr>
  </w:style>
  <w:style w:type="paragraph" w:styleId="Title">
    <w:name w:val="Title"/>
    <w:basedOn w:val="Normal"/>
    <w:next w:val="Normal"/>
    <w:link w:val="TitleChar"/>
    <w:uiPriority w:val="10"/>
    <w:qFormat/>
    <w:rsid w:val="00D935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5A1"/>
    <w:pPr>
      <w:spacing w:before="160"/>
      <w:jc w:val="center"/>
    </w:pPr>
    <w:rPr>
      <w:i/>
      <w:iCs/>
      <w:color w:val="404040" w:themeColor="text1" w:themeTint="BF"/>
    </w:rPr>
  </w:style>
  <w:style w:type="character" w:customStyle="1" w:styleId="QuoteChar">
    <w:name w:val="Quote Char"/>
    <w:basedOn w:val="DefaultParagraphFont"/>
    <w:link w:val="Quote"/>
    <w:uiPriority w:val="29"/>
    <w:rsid w:val="00D935A1"/>
    <w:rPr>
      <w:i/>
      <w:iCs/>
      <w:color w:val="404040" w:themeColor="text1" w:themeTint="BF"/>
    </w:rPr>
  </w:style>
  <w:style w:type="paragraph" w:styleId="ListParagraph">
    <w:name w:val="List Paragraph"/>
    <w:basedOn w:val="Normal"/>
    <w:uiPriority w:val="34"/>
    <w:qFormat/>
    <w:rsid w:val="00D935A1"/>
    <w:pPr>
      <w:ind w:left="720"/>
      <w:contextualSpacing/>
    </w:pPr>
  </w:style>
  <w:style w:type="character" w:styleId="IntenseEmphasis">
    <w:name w:val="Intense Emphasis"/>
    <w:basedOn w:val="DefaultParagraphFont"/>
    <w:uiPriority w:val="21"/>
    <w:qFormat/>
    <w:rsid w:val="00D935A1"/>
    <w:rPr>
      <w:i/>
      <w:iCs/>
      <w:color w:val="0F4761" w:themeColor="accent1" w:themeShade="BF"/>
    </w:rPr>
  </w:style>
  <w:style w:type="paragraph" w:styleId="IntenseQuote">
    <w:name w:val="Intense Quote"/>
    <w:basedOn w:val="Normal"/>
    <w:next w:val="Normal"/>
    <w:link w:val="IntenseQuoteChar"/>
    <w:uiPriority w:val="30"/>
    <w:qFormat/>
    <w:rsid w:val="00D93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5A1"/>
    <w:rPr>
      <w:i/>
      <w:iCs/>
      <w:color w:val="0F4761" w:themeColor="accent1" w:themeShade="BF"/>
    </w:rPr>
  </w:style>
  <w:style w:type="character" w:styleId="IntenseReference">
    <w:name w:val="Intense Reference"/>
    <w:basedOn w:val="DefaultParagraphFont"/>
    <w:uiPriority w:val="32"/>
    <w:qFormat/>
    <w:rsid w:val="00D935A1"/>
    <w:rPr>
      <w:b/>
      <w:bCs/>
      <w:smallCaps/>
      <w:color w:val="0F4761" w:themeColor="accent1" w:themeShade="BF"/>
      <w:spacing w:val="5"/>
    </w:rPr>
  </w:style>
  <w:style w:type="character" w:styleId="CommentReference">
    <w:name w:val="annotation reference"/>
    <w:basedOn w:val="DefaultParagraphFont"/>
    <w:rsid w:val="00D935A1"/>
    <w:rPr>
      <w:sz w:val="16"/>
      <w:szCs w:val="16"/>
    </w:rPr>
  </w:style>
  <w:style w:type="paragraph" w:styleId="CommentText">
    <w:name w:val="annotation text"/>
    <w:basedOn w:val="Normal"/>
    <w:link w:val="CommentTextChar"/>
    <w:rsid w:val="00D935A1"/>
    <w:rPr>
      <w:sz w:val="20"/>
      <w:szCs w:val="20"/>
    </w:rPr>
  </w:style>
  <w:style w:type="character" w:customStyle="1" w:styleId="CommentTextChar">
    <w:name w:val="Comment Text Char"/>
    <w:basedOn w:val="DefaultParagraphFont"/>
    <w:link w:val="CommentText"/>
    <w:rsid w:val="00D935A1"/>
    <w:rPr>
      <w:rFonts w:ascii="Times New Roman" w:eastAsia="Times New Roman" w:hAnsi="Times New Roman" w:cs="Times New Roman"/>
      <w:kern w:val="0"/>
      <w:sz w:val="20"/>
      <w:szCs w:val="20"/>
      <w14:ligatures w14:val="none"/>
    </w:rPr>
  </w:style>
  <w:style w:type="paragraph" w:customStyle="1" w:styleId="Pa28">
    <w:name w:val="Pa28"/>
    <w:basedOn w:val="Normal"/>
    <w:next w:val="Normal"/>
    <w:uiPriority w:val="99"/>
    <w:rsid w:val="00D935A1"/>
    <w:pPr>
      <w:autoSpaceDE w:val="0"/>
      <w:autoSpaceDN w:val="0"/>
      <w:adjustRightInd w:val="0"/>
      <w:spacing w:line="220" w:lineRule="atLeast"/>
    </w:pPr>
    <w:rPr>
      <w:rFonts w:ascii="Cambria" w:hAnsi="Cambria"/>
      <w:lang w:eastAsia="en-GB"/>
    </w:rPr>
  </w:style>
  <w:style w:type="paragraph" w:styleId="Header">
    <w:name w:val="header"/>
    <w:basedOn w:val="Normal"/>
    <w:link w:val="HeaderChar"/>
    <w:rsid w:val="00B21834"/>
    <w:pPr>
      <w:tabs>
        <w:tab w:val="center" w:pos="4153"/>
        <w:tab w:val="right" w:pos="8306"/>
      </w:tabs>
    </w:pPr>
  </w:style>
  <w:style w:type="character" w:customStyle="1" w:styleId="HeaderChar">
    <w:name w:val="Header Char"/>
    <w:basedOn w:val="DefaultParagraphFont"/>
    <w:link w:val="Header"/>
    <w:rsid w:val="00B21834"/>
    <w:rPr>
      <w:rFonts w:ascii="Times New Roman" w:eastAsia="Times New Roman" w:hAnsi="Times New Roman" w:cs="Times New Roman"/>
      <w:kern w:val="0"/>
      <w14:ligatures w14:val="none"/>
    </w:rPr>
  </w:style>
  <w:style w:type="paragraph" w:styleId="Revision">
    <w:name w:val="Revision"/>
    <w:hidden/>
    <w:uiPriority w:val="99"/>
    <w:semiHidden/>
    <w:rsid w:val="00315ACA"/>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590E57"/>
    <w:rPr>
      <w:b/>
      <w:bCs/>
    </w:rPr>
  </w:style>
  <w:style w:type="character" w:customStyle="1" w:styleId="CommentSubjectChar">
    <w:name w:val="Comment Subject Char"/>
    <w:basedOn w:val="CommentTextChar"/>
    <w:link w:val="CommentSubject"/>
    <w:uiPriority w:val="99"/>
    <w:semiHidden/>
    <w:rsid w:val="00590E57"/>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7336ED"/>
    <w:pPr>
      <w:tabs>
        <w:tab w:val="center" w:pos="4513"/>
        <w:tab w:val="right" w:pos="9026"/>
      </w:tabs>
    </w:pPr>
  </w:style>
  <w:style w:type="character" w:customStyle="1" w:styleId="FooterChar">
    <w:name w:val="Footer Char"/>
    <w:basedOn w:val="DefaultParagraphFont"/>
    <w:link w:val="Footer"/>
    <w:uiPriority w:val="99"/>
    <w:rsid w:val="007336E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Wainwright</dc:creator>
  <cp:keywords/>
  <dc:description/>
  <cp:lastModifiedBy>Emily Robinson</cp:lastModifiedBy>
  <cp:revision>1</cp:revision>
  <dcterms:created xsi:type="dcterms:W3CDTF">2025-04-07T11:13:00Z</dcterms:created>
  <dcterms:modified xsi:type="dcterms:W3CDTF">2025-04-07T11:13:00Z</dcterms:modified>
</cp:coreProperties>
</file>